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333D" w14:textId="77777777" w:rsidR="009A36BE" w:rsidRDefault="009A36BE" w:rsidP="00AA3491">
      <w:pPr>
        <w:rPr>
          <w:b/>
          <w:sz w:val="40"/>
          <w:szCs w:val="40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NZ"/>
        </w:rPr>
        <w:drawing>
          <wp:inline distT="0" distB="0" distL="0" distR="0" wp14:anchorId="2D17BFBD" wp14:editId="032377AD">
            <wp:extent cx="1323305" cy="545911"/>
            <wp:effectExtent l="0" t="0" r="0" b="6985"/>
            <wp:docPr id="2" name="Picture 2" descr="North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64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90B1" w14:textId="77777777" w:rsidR="00033048" w:rsidRDefault="00033048" w:rsidP="009A36BE">
      <w:pPr>
        <w:jc w:val="center"/>
        <w:rPr>
          <w:b/>
          <w:sz w:val="40"/>
          <w:szCs w:val="40"/>
        </w:rPr>
      </w:pPr>
    </w:p>
    <w:p w14:paraId="69288E7F" w14:textId="77777777" w:rsidR="009E3ECF" w:rsidRPr="00EA6D6B" w:rsidRDefault="00E8073D" w:rsidP="009A36BE">
      <w:pPr>
        <w:jc w:val="center"/>
        <w:rPr>
          <w:b/>
          <w:sz w:val="40"/>
          <w:szCs w:val="40"/>
        </w:rPr>
      </w:pPr>
      <w:r w:rsidRPr="00312D70">
        <w:rPr>
          <w:b/>
          <w:sz w:val="40"/>
          <w:szCs w:val="40"/>
        </w:rPr>
        <w:t xml:space="preserve">Notice to </w:t>
      </w:r>
      <w:r w:rsidR="00312D70" w:rsidRPr="00312D70">
        <w:rPr>
          <w:b/>
          <w:sz w:val="40"/>
          <w:szCs w:val="40"/>
        </w:rPr>
        <w:t xml:space="preserve">all </w:t>
      </w:r>
      <w:r w:rsidR="006655D5" w:rsidRPr="00312D70">
        <w:rPr>
          <w:b/>
          <w:sz w:val="40"/>
          <w:szCs w:val="40"/>
        </w:rPr>
        <w:t xml:space="preserve">Users </w:t>
      </w:r>
      <w:r w:rsidR="006655D5" w:rsidRPr="00EA6D6B">
        <w:rPr>
          <w:b/>
          <w:sz w:val="40"/>
          <w:szCs w:val="40"/>
        </w:rPr>
        <w:t>of the Northport Gantries</w:t>
      </w:r>
    </w:p>
    <w:p w14:paraId="53EF80D1" w14:textId="1EEA5DEA" w:rsidR="00312D70" w:rsidRPr="00EA6D6B" w:rsidRDefault="00B020C2" w:rsidP="00312D70">
      <w:pPr>
        <w:jc w:val="center"/>
        <w:rPr>
          <w:b/>
        </w:rPr>
      </w:pPr>
      <w:r>
        <w:rPr>
          <w:b/>
        </w:rPr>
        <w:t>August 20</w:t>
      </w:r>
      <w:r w:rsidR="00FE5985">
        <w:rPr>
          <w:b/>
        </w:rPr>
        <w:t>2</w:t>
      </w:r>
      <w:r w:rsidR="006F7500">
        <w:rPr>
          <w:b/>
        </w:rPr>
        <w:t>1</w:t>
      </w:r>
    </w:p>
    <w:p w14:paraId="262DB43C" w14:textId="77777777" w:rsidR="00E8073D" w:rsidRPr="00EA6D6B" w:rsidRDefault="003F2B4F" w:rsidP="00312D70">
      <w:pPr>
        <w:jc w:val="center"/>
        <w:rPr>
          <w:b/>
          <w:sz w:val="36"/>
          <w:szCs w:val="36"/>
        </w:rPr>
      </w:pPr>
      <w:r w:rsidRPr="00EA6D6B">
        <w:rPr>
          <w:b/>
          <w:sz w:val="36"/>
          <w:szCs w:val="36"/>
        </w:rPr>
        <w:t>Gantry Compliance</w:t>
      </w:r>
      <w:r w:rsidR="00E8073D" w:rsidRPr="00EA6D6B">
        <w:rPr>
          <w:b/>
          <w:sz w:val="36"/>
          <w:szCs w:val="36"/>
        </w:rPr>
        <w:t xml:space="preserve"> </w:t>
      </w:r>
      <w:r w:rsidR="00312D70" w:rsidRPr="00EA6D6B">
        <w:rPr>
          <w:b/>
          <w:sz w:val="36"/>
          <w:szCs w:val="36"/>
        </w:rPr>
        <w:t xml:space="preserve">- </w:t>
      </w:r>
      <w:r w:rsidR="00E8073D" w:rsidRPr="00EA6D6B">
        <w:rPr>
          <w:b/>
          <w:sz w:val="36"/>
          <w:szCs w:val="36"/>
        </w:rPr>
        <w:t>Renewal</w:t>
      </w:r>
    </w:p>
    <w:p w14:paraId="42682143" w14:textId="77777777" w:rsidR="00BD4F36" w:rsidRPr="00EA6D6B" w:rsidRDefault="00BD4F36">
      <w:pPr>
        <w:rPr>
          <w:b/>
        </w:rPr>
      </w:pPr>
    </w:p>
    <w:p w14:paraId="2FD0DB69" w14:textId="77777777" w:rsidR="00A11029" w:rsidRPr="00EA6D6B" w:rsidRDefault="00A11029">
      <w:pPr>
        <w:rPr>
          <w:b/>
          <w:u w:val="single"/>
        </w:rPr>
      </w:pPr>
      <w:r w:rsidRPr="00EA6D6B">
        <w:rPr>
          <w:b/>
          <w:u w:val="single"/>
        </w:rPr>
        <w:t xml:space="preserve">Purpose of the </w:t>
      </w:r>
      <w:r w:rsidR="003F2B4F" w:rsidRPr="00EA6D6B">
        <w:rPr>
          <w:b/>
          <w:u w:val="single"/>
        </w:rPr>
        <w:t>Gantry Compliance</w:t>
      </w:r>
      <w:r w:rsidR="00F34921" w:rsidRPr="00EA6D6B">
        <w:rPr>
          <w:b/>
          <w:u w:val="single"/>
        </w:rPr>
        <w:t xml:space="preserve"> P</w:t>
      </w:r>
      <w:r w:rsidRPr="00EA6D6B">
        <w:rPr>
          <w:b/>
          <w:u w:val="single"/>
        </w:rPr>
        <w:t>rocess</w:t>
      </w:r>
      <w:r w:rsidR="009D5921" w:rsidRPr="00EA6D6B">
        <w:rPr>
          <w:b/>
          <w:u w:val="single"/>
        </w:rPr>
        <w:t>:</w:t>
      </w:r>
    </w:p>
    <w:p w14:paraId="7A7E1D56" w14:textId="77777777" w:rsidR="00E8073D" w:rsidRPr="00EA6D6B" w:rsidRDefault="00B20940" w:rsidP="00F820CF">
      <w:pPr>
        <w:jc w:val="both"/>
      </w:pPr>
      <w:r w:rsidRPr="00EA6D6B">
        <w:t xml:space="preserve">Safe lifting equipment and competent operators are </w:t>
      </w:r>
      <w:r w:rsidR="00DA72C5">
        <w:t xml:space="preserve">both </w:t>
      </w:r>
      <w:r w:rsidRPr="00EA6D6B">
        <w:t>essential for minimising</w:t>
      </w:r>
      <w:r w:rsidR="00312D70" w:rsidRPr="00EA6D6B">
        <w:t xml:space="preserve"> the risk to users</w:t>
      </w:r>
      <w:r w:rsidR="00E8073D" w:rsidRPr="00EA6D6B">
        <w:t xml:space="preserve"> of the </w:t>
      </w:r>
      <w:r w:rsidR="00312D70" w:rsidRPr="00EA6D6B">
        <w:t>Northport L</w:t>
      </w:r>
      <w:r w:rsidR="0090195D">
        <w:t>imi</w:t>
      </w:r>
      <w:r w:rsidR="00312D70" w:rsidRPr="00EA6D6B">
        <w:t>t</w:t>
      </w:r>
      <w:r w:rsidR="0090195D">
        <w:t>e</w:t>
      </w:r>
      <w:r w:rsidR="00312D70" w:rsidRPr="00EA6D6B">
        <w:t xml:space="preserve">d </w:t>
      </w:r>
      <w:r w:rsidR="0090195D">
        <w:t xml:space="preserve">(“Northport”) </w:t>
      </w:r>
      <w:r w:rsidR="00E8073D" w:rsidRPr="00EA6D6B">
        <w:t>gantries</w:t>
      </w:r>
      <w:r w:rsidRPr="00EA6D6B">
        <w:t xml:space="preserve">. The </w:t>
      </w:r>
      <w:r w:rsidR="00612ED4" w:rsidRPr="00EA6D6B">
        <w:t>gantry compliance</w:t>
      </w:r>
      <w:r w:rsidR="00F34921" w:rsidRPr="00EA6D6B">
        <w:t xml:space="preserve"> </w:t>
      </w:r>
      <w:r w:rsidR="004C13CD" w:rsidRPr="00EA6D6B">
        <w:t>system</w:t>
      </w:r>
      <w:r w:rsidR="00F34921" w:rsidRPr="00EA6D6B">
        <w:t xml:space="preserve"> </w:t>
      </w:r>
      <w:r w:rsidR="00612ED4" w:rsidRPr="00EA6D6B">
        <w:t xml:space="preserve">is </w:t>
      </w:r>
      <w:r w:rsidR="0090195D">
        <w:t xml:space="preserve">in place to </w:t>
      </w:r>
      <w:r w:rsidR="004C13CD" w:rsidRPr="00EA6D6B">
        <w:t>protect gantry users from unsafe gantry practices and</w:t>
      </w:r>
      <w:r w:rsidR="00612ED4" w:rsidRPr="00EA6D6B">
        <w:t xml:space="preserve"> substandard</w:t>
      </w:r>
      <w:r w:rsidR="00F12D41" w:rsidRPr="00EA6D6B">
        <w:t xml:space="preserve"> components</w:t>
      </w:r>
      <w:r w:rsidR="00612ED4" w:rsidRPr="00EA6D6B">
        <w:t>.</w:t>
      </w:r>
      <w:r w:rsidR="0090195D" w:rsidRPr="0090195D">
        <w:t xml:space="preserve"> </w:t>
      </w:r>
      <w:r w:rsidR="0090195D">
        <w:t xml:space="preserve">By </w:t>
      </w:r>
      <w:r w:rsidR="0090195D" w:rsidRPr="00D733AB">
        <w:t>ensur</w:t>
      </w:r>
      <w:r w:rsidR="0090195D">
        <w:t>ing</w:t>
      </w:r>
      <w:r w:rsidR="0090195D" w:rsidRPr="00D733AB">
        <w:t xml:space="preserve"> only trucks with compliant lifting gear and a trained operator use the</w:t>
      </w:r>
      <w:r w:rsidR="0090195D">
        <w:t xml:space="preserve"> gantries.</w:t>
      </w:r>
    </w:p>
    <w:p w14:paraId="53387669" w14:textId="77777777" w:rsidR="00E97F4E" w:rsidRDefault="00D86021" w:rsidP="00F820CF">
      <w:pPr>
        <w:jc w:val="both"/>
      </w:pPr>
      <w:r>
        <w:t>L</w:t>
      </w:r>
      <w:r w:rsidR="00A11029">
        <w:t>ifting gear on trailers u</w:t>
      </w:r>
      <w:r>
        <w:t xml:space="preserve">sing the Northport gantries </w:t>
      </w:r>
      <w:r w:rsidR="00DA72C5">
        <w:t>should be checked before every use and</w:t>
      </w:r>
      <w:r>
        <w:t xml:space="preserve"> </w:t>
      </w:r>
      <w:r w:rsidR="00A11029">
        <w:t>inspected at least annually in accordance with t</w:t>
      </w:r>
      <w:r w:rsidR="009D5921">
        <w:t>he requirements of the Code of P</w:t>
      </w:r>
      <w:r w:rsidR="00A11029">
        <w:t>racti</w:t>
      </w:r>
      <w:r w:rsidR="009D5921">
        <w:t>s</w:t>
      </w:r>
      <w:r>
        <w:t xml:space="preserve">e for load lifting </w:t>
      </w:r>
      <w:r w:rsidR="00DA72C5">
        <w:t xml:space="preserve">and </w:t>
      </w:r>
      <w:r>
        <w:t>rigging</w:t>
      </w:r>
      <w:r w:rsidR="00A11029">
        <w:t xml:space="preserve"> and the Log Transport Safety Cou</w:t>
      </w:r>
      <w:r w:rsidR="00312D70">
        <w:t>ncil</w:t>
      </w:r>
      <w:r w:rsidR="00DA72C5">
        <w:t>’s guidelines</w:t>
      </w:r>
      <w:r w:rsidR="00312D70">
        <w:t>.</w:t>
      </w:r>
    </w:p>
    <w:p w14:paraId="382371E3" w14:textId="77777777" w:rsidR="00236797" w:rsidRDefault="00236797">
      <w:pPr>
        <w:rPr>
          <w:b/>
          <w:u w:val="single"/>
        </w:rPr>
      </w:pPr>
      <w:r w:rsidRPr="00236797">
        <w:rPr>
          <w:b/>
          <w:u w:val="single"/>
        </w:rPr>
        <w:t xml:space="preserve">Trucking Companies </w:t>
      </w:r>
      <w:r w:rsidR="00A861F9">
        <w:rPr>
          <w:b/>
          <w:u w:val="single"/>
        </w:rPr>
        <w:t>shall</w:t>
      </w:r>
      <w:r w:rsidRPr="00236797">
        <w:rPr>
          <w:b/>
          <w:u w:val="single"/>
        </w:rPr>
        <w:t>:</w:t>
      </w:r>
    </w:p>
    <w:p w14:paraId="42D4DFD7" w14:textId="77777777" w:rsidR="00236797" w:rsidRPr="008D39EF" w:rsidRDefault="008D39EF" w:rsidP="001851B0">
      <w:pPr>
        <w:jc w:val="both"/>
      </w:pPr>
      <w:r>
        <w:t>1:</w:t>
      </w:r>
      <w:r w:rsidR="001851B0">
        <w:t xml:space="preserve"> </w:t>
      </w:r>
      <w:r w:rsidR="0086572B" w:rsidRPr="008D39EF">
        <w:t>Provide</w:t>
      </w:r>
      <w:r w:rsidR="00236797" w:rsidRPr="008D39EF">
        <w:t xml:space="preserve"> a copy of </w:t>
      </w:r>
      <w:r w:rsidR="00DA72C5">
        <w:t>the</w:t>
      </w:r>
      <w:r w:rsidR="00236797" w:rsidRPr="008D39EF">
        <w:t xml:space="preserve"> </w:t>
      </w:r>
      <w:r w:rsidR="00236797" w:rsidRPr="00F820CF">
        <w:rPr>
          <w:i/>
        </w:rPr>
        <w:t>inspection register</w:t>
      </w:r>
      <w:r w:rsidR="00236797" w:rsidRPr="008D39EF">
        <w:t xml:space="preserve"> </w:t>
      </w:r>
      <w:proofErr w:type="gramStart"/>
      <w:r w:rsidR="007E2FA2">
        <w:t>detailing</w:t>
      </w:r>
      <w:r w:rsidR="00DA72C5">
        <w:t>;</w:t>
      </w:r>
      <w:proofErr w:type="gramEnd"/>
    </w:p>
    <w:p w14:paraId="7B9C14CB" w14:textId="77777777" w:rsidR="00236797" w:rsidRDefault="00236797" w:rsidP="001851B0">
      <w:pPr>
        <w:pStyle w:val="ListParagraph"/>
        <w:numPr>
          <w:ilvl w:val="0"/>
          <w:numId w:val="2"/>
        </w:numPr>
        <w:ind w:firstLine="0"/>
        <w:jc w:val="both"/>
      </w:pPr>
      <w:r>
        <w:t xml:space="preserve">Company Name, </w:t>
      </w:r>
      <w:r w:rsidR="007E2FA2">
        <w:t xml:space="preserve">physical </w:t>
      </w:r>
      <w:proofErr w:type="gramStart"/>
      <w:r w:rsidR="007E2FA2">
        <w:t>address</w:t>
      </w:r>
      <w:proofErr w:type="gramEnd"/>
      <w:r w:rsidR="007E2FA2">
        <w:t xml:space="preserve"> and email </w:t>
      </w:r>
      <w:r>
        <w:t>address</w:t>
      </w:r>
    </w:p>
    <w:p w14:paraId="2DD699D9" w14:textId="77777777" w:rsidR="00236797" w:rsidRDefault="00236797" w:rsidP="001851B0">
      <w:pPr>
        <w:pStyle w:val="ListParagraph"/>
        <w:numPr>
          <w:ilvl w:val="0"/>
          <w:numId w:val="2"/>
        </w:numPr>
        <w:ind w:firstLine="0"/>
        <w:jc w:val="both"/>
      </w:pPr>
      <w:r>
        <w:t xml:space="preserve">Full name of the </w:t>
      </w:r>
      <w:r w:rsidRPr="00312D70">
        <w:rPr>
          <w:i/>
        </w:rPr>
        <w:t>competent person</w:t>
      </w:r>
      <w:r>
        <w:t xml:space="preserve"> conducting the inspection </w:t>
      </w:r>
    </w:p>
    <w:p w14:paraId="1CD8D51A" w14:textId="77777777" w:rsidR="00236797" w:rsidRDefault="00236797" w:rsidP="001851B0">
      <w:pPr>
        <w:pStyle w:val="ListParagraph"/>
        <w:numPr>
          <w:ilvl w:val="0"/>
          <w:numId w:val="2"/>
        </w:numPr>
        <w:ind w:firstLine="0"/>
        <w:jc w:val="both"/>
      </w:pPr>
      <w:r>
        <w:t>Date the inspection took place</w:t>
      </w:r>
    </w:p>
    <w:p w14:paraId="457413EC" w14:textId="77777777" w:rsidR="00312D70" w:rsidRDefault="00236797" w:rsidP="001851B0">
      <w:pPr>
        <w:pStyle w:val="ListParagraph"/>
        <w:numPr>
          <w:ilvl w:val="0"/>
          <w:numId w:val="2"/>
        </w:numPr>
        <w:ind w:firstLine="0"/>
        <w:jc w:val="both"/>
      </w:pPr>
      <w:r>
        <w:t>Registration number</w:t>
      </w:r>
      <w:r w:rsidR="003F2B4F">
        <w:t>s</w:t>
      </w:r>
      <w:r>
        <w:t xml:space="preserve"> of the</w:t>
      </w:r>
      <w:r w:rsidR="003F2B4F">
        <w:t xml:space="preserve"> truck and </w:t>
      </w:r>
      <w:r>
        <w:t>trailer being inspected</w:t>
      </w:r>
      <w:r w:rsidR="0086572B">
        <w:t xml:space="preserve"> </w:t>
      </w:r>
    </w:p>
    <w:p w14:paraId="112D1789" w14:textId="77777777" w:rsidR="007E2FA2" w:rsidRDefault="007E2FA2" w:rsidP="001851B0">
      <w:pPr>
        <w:pStyle w:val="ListParagraph"/>
        <w:numPr>
          <w:ilvl w:val="0"/>
          <w:numId w:val="2"/>
        </w:numPr>
        <w:ind w:firstLine="0"/>
        <w:jc w:val="both"/>
      </w:pPr>
      <w:r>
        <w:t>Fleet number</w:t>
      </w:r>
    </w:p>
    <w:p w14:paraId="09EC8B3C" w14:textId="5F728354" w:rsidR="00236797" w:rsidRPr="00D733AB" w:rsidRDefault="0086572B" w:rsidP="001851B0">
      <w:pPr>
        <w:ind w:left="284" w:hanging="284"/>
        <w:jc w:val="both"/>
      </w:pPr>
      <w:r>
        <w:t xml:space="preserve">2: When provided </w:t>
      </w:r>
      <w:r w:rsidR="006F001F">
        <w:t>with an individually numbered “Gantry Compliance</w:t>
      </w:r>
      <w:r>
        <w:t>”</w:t>
      </w:r>
      <w:r w:rsidR="00996BB8">
        <w:t xml:space="preserve"> sticker</w:t>
      </w:r>
      <w:r>
        <w:t xml:space="preserve"> by Northport, </w:t>
      </w:r>
      <w:r w:rsidR="00D86021">
        <w:t xml:space="preserve">remove the previous </w:t>
      </w:r>
      <w:r w:rsidR="00D86021" w:rsidRPr="00926C97">
        <w:rPr>
          <w:highlight w:val="yellow"/>
        </w:rPr>
        <w:t>(</w:t>
      </w:r>
      <w:r w:rsidR="00066A5B" w:rsidRPr="00926C97">
        <w:rPr>
          <w:highlight w:val="yellow"/>
        </w:rPr>
        <w:t>yellow</w:t>
      </w:r>
      <w:r w:rsidR="00A861F9" w:rsidRPr="00926C97">
        <w:rPr>
          <w:highlight w:val="yellow"/>
        </w:rPr>
        <w:t>)</w:t>
      </w:r>
      <w:r w:rsidR="00A861F9" w:rsidRPr="00D733AB">
        <w:t xml:space="preserve"> sticker if applicable and </w:t>
      </w:r>
      <w:r w:rsidRPr="00D733AB">
        <w:t xml:space="preserve">apply the </w:t>
      </w:r>
      <w:r w:rsidR="00A861F9" w:rsidRPr="00D733AB">
        <w:t xml:space="preserve">new </w:t>
      </w:r>
      <w:r w:rsidR="00A861F9" w:rsidRPr="00926C97">
        <w:rPr>
          <w:highlight w:val="red"/>
        </w:rPr>
        <w:t>(</w:t>
      </w:r>
      <w:r w:rsidR="00066A5B" w:rsidRPr="00926C97">
        <w:rPr>
          <w:highlight w:val="red"/>
        </w:rPr>
        <w:t>RED</w:t>
      </w:r>
      <w:r w:rsidR="00A861F9" w:rsidRPr="00926C97">
        <w:rPr>
          <w:highlight w:val="red"/>
        </w:rPr>
        <w:t>)</w:t>
      </w:r>
      <w:r w:rsidR="00A861F9" w:rsidRPr="00D733AB">
        <w:t xml:space="preserve"> </w:t>
      </w:r>
      <w:r w:rsidRPr="00D733AB">
        <w:t xml:space="preserve">sticker in the bottom </w:t>
      </w:r>
      <w:r w:rsidR="00A861F9" w:rsidRPr="00D733AB">
        <w:t xml:space="preserve">corner of the </w:t>
      </w:r>
      <w:r w:rsidRPr="00D733AB">
        <w:t xml:space="preserve">driver’s side of the </w:t>
      </w:r>
      <w:r w:rsidR="00F20ECD" w:rsidRPr="00D733AB">
        <w:t>truck</w:t>
      </w:r>
      <w:r w:rsidR="0090195D">
        <w:t>’</w:t>
      </w:r>
      <w:r w:rsidR="00F20ECD" w:rsidRPr="00D733AB">
        <w:t xml:space="preserve">s </w:t>
      </w:r>
      <w:r w:rsidRPr="00D733AB">
        <w:t>windscreen</w:t>
      </w:r>
      <w:r w:rsidR="00F20ECD" w:rsidRPr="00D733AB">
        <w:t>. Also, for operators with multiple truck</w:t>
      </w:r>
      <w:r w:rsidR="0090195D">
        <w:t>s or trailers</w:t>
      </w:r>
      <w:r w:rsidR="00F20ECD" w:rsidRPr="00D733AB">
        <w:t xml:space="preserve">, ensure the correct sticker is matched with </w:t>
      </w:r>
      <w:r w:rsidR="0090195D">
        <w:t xml:space="preserve">between </w:t>
      </w:r>
      <w:r w:rsidRPr="00D733AB">
        <w:t>truck</w:t>
      </w:r>
      <w:r w:rsidR="0090195D">
        <w:t>s</w:t>
      </w:r>
      <w:r w:rsidRPr="00D733AB">
        <w:t xml:space="preserve"> </w:t>
      </w:r>
      <w:r w:rsidR="0090195D">
        <w:t xml:space="preserve">and </w:t>
      </w:r>
      <w:r w:rsidR="00D86021" w:rsidRPr="00D733AB">
        <w:t>trailer</w:t>
      </w:r>
      <w:r w:rsidR="0090195D">
        <w:t>s</w:t>
      </w:r>
      <w:r w:rsidR="00D86021" w:rsidRPr="00D733AB">
        <w:t xml:space="preserve"> </w:t>
      </w:r>
      <w:r w:rsidR="0090195D">
        <w:t>as per</w:t>
      </w:r>
      <w:r w:rsidR="00F20ECD" w:rsidRPr="00D733AB">
        <w:t xml:space="preserve"> register</w:t>
      </w:r>
      <w:r w:rsidR="0090195D">
        <w:t xml:space="preserve"> submitted</w:t>
      </w:r>
      <w:r w:rsidR="00D86021" w:rsidRPr="00D733AB">
        <w:t>.</w:t>
      </w:r>
    </w:p>
    <w:p w14:paraId="52A63392" w14:textId="77777777" w:rsidR="0086572B" w:rsidRPr="00D733AB" w:rsidRDefault="00B71387" w:rsidP="001851B0">
      <w:pPr>
        <w:ind w:left="284" w:hanging="284"/>
        <w:jc w:val="both"/>
      </w:pPr>
      <w:r w:rsidRPr="00D733AB">
        <w:t xml:space="preserve">3: Notify Northport </w:t>
      </w:r>
      <w:r w:rsidR="0086572B" w:rsidRPr="00D733AB">
        <w:t>immediately where any details of the trailer registration vers</w:t>
      </w:r>
      <w:r w:rsidR="004B71FD" w:rsidRPr="00D733AB">
        <w:t>u</w:t>
      </w:r>
      <w:r w:rsidR="0086572B" w:rsidRPr="00D733AB">
        <w:t>s sticker number</w:t>
      </w:r>
      <w:r w:rsidR="001851B0">
        <w:t xml:space="preserve"> </w:t>
      </w:r>
      <w:r w:rsidR="0086572B" w:rsidRPr="00D733AB">
        <w:t>c</w:t>
      </w:r>
      <w:r w:rsidR="009D5921" w:rsidRPr="00D733AB">
        <w:t>hange</w:t>
      </w:r>
      <w:r w:rsidR="004B71FD" w:rsidRPr="00D733AB">
        <w:t>s</w:t>
      </w:r>
      <w:r w:rsidR="009D5921" w:rsidRPr="00D733AB">
        <w:t xml:space="preserve"> due to swapping trailers</w:t>
      </w:r>
      <w:r w:rsidR="0086572B" w:rsidRPr="00D733AB">
        <w:t xml:space="preserve"> or for any other reason</w:t>
      </w:r>
      <w:r w:rsidR="00312D70" w:rsidRPr="00D733AB">
        <w:t>.</w:t>
      </w:r>
    </w:p>
    <w:p w14:paraId="4D153969" w14:textId="77777777" w:rsidR="00B54930" w:rsidRPr="00B54930" w:rsidRDefault="008707AD" w:rsidP="001851B0">
      <w:pPr>
        <w:ind w:left="284" w:hanging="284"/>
      </w:pPr>
      <w:r w:rsidRPr="00D733AB">
        <w:t>4</w:t>
      </w:r>
      <w:r w:rsidR="001851B0">
        <w:t>:</w:t>
      </w:r>
      <w:r w:rsidRPr="00D733AB">
        <w:t xml:space="preserve"> By using the Northport gantries, ensure that their drivers are </w:t>
      </w:r>
      <w:r w:rsidR="00616529">
        <w:t xml:space="preserve">trained in </w:t>
      </w:r>
      <w:r w:rsidRPr="00D733AB">
        <w:t xml:space="preserve">and comply with the </w:t>
      </w:r>
      <w:r w:rsidR="00F20ECD" w:rsidRPr="00D733AB">
        <w:t xml:space="preserve">Northport </w:t>
      </w:r>
      <w:r w:rsidRPr="00D733AB">
        <w:t xml:space="preserve">Gantry </w:t>
      </w:r>
      <w:r w:rsidR="00F20ECD" w:rsidRPr="00D733AB">
        <w:t>Operating P</w:t>
      </w:r>
      <w:r w:rsidR="007B5C85" w:rsidRPr="00D733AB">
        <w:t>rocedure</w:t>
      </w:r>
      <w:r w:rsidR="003F2B4F" w:rsidRPr="00D733AB">
        <w:t>s</w:t>
      </w:r>
      <w:r w:rsidRPr="00D733AB">
        <w:t xml:space="preserve">, which are displayed at the Gantries and attached on page </w:t>
      </w:r>
      <w:r w:rsidR="008350D3">
        <w:t>4</w:t>
      </w:r>
      <w:r w:rsidRPr="00D733AB">
        <w:t xml:space="preserve"> of this letter.</w:t>
      </w:r>
      <w:r w:rsidR="007B5C85" w:rsidRPr="00D733AB">
        <w:t xml:space="preserve">  Note that the</w:t>
      </w:r>
      <w:r w:rsidR="0009007F">
        <w:t xml:space="preserve"> Western gantry has an SWL of 8</w:t>
      </w:r>
      <w:r w:rsidR="007B5C85" w:rsidRPr="00D733AB">
        <w:t>T and th</w:t>
      </w:r>
      <w:r w:rsidR="0009007F">
        <w:t>e Eastern gantry has an SWL of 10</w:t>
      </w:r>
      <w:r w:rsidR="007B5C85" w:rsidRPr="00D733AB">
        <w:t>T.</w:t>
      </w:r>
      <w:r w:rsidR="00B54930" w:rsidRPr="00D733AB">
        <w:t xml:space="preserve"> </w:t>
      </w:r>
      <w:r w:rsidR="00F20ECD" w:rsidRPr="00D733AB">
        <w:t xml:space="preserve">Issues noted </w:t>
      </w:r>
      <w:r w:rsidR="00B54930" w:rsidRPr="00D733AB">
        <w:t xml:space="preserve">during our </w:t>
      </w:r>
      <w:r w:rsidR="0090195D">
        <w:t>g</w:t>
      </w:r>
      <w:r w:rsidR="00B54930">
        <w:t xml:space="preserve">antry </w:t>
      </w:r>
      <w:r w:rsidR="0090195D">
        <w:t>s</w:t>
      </w:r>
      <w:r w:rsidR="00B54930">
        <w:t>afet</w:t>
      </w:r>
      <w:r w:rsidR="00B87BC7">
        <w:t xml:space="preserve">y </w:t>
      </w:r>
      <w:r w:rsidR="0090195D">
        <w:t>d</w:t>
      </w:r>
      <w:r w:rsidR="00B87BC7">
        <w:t>ay</w:t>
      </w:r>
      <w:r w:rsidR="0090195D">
        <w:t>s</w:t>
      </w:r>
      <w:r w:rsidR="00B87BC7">
        <w:t xml:space="preserve"> are provided in</w:t>
      </w:r>
      <w:r w:rsidR="00BE4535">
        <w:t xml:space="preserve"> Appendix </w:t>
      </w:r>
      <w:r w:rsidR="00F20ECD">
        <w:t>4</w:t>
      </w:r>
      <w:r w:rsidR="00B54930">
        <w:t xml:space="preserve"> to support this training.</w:t>
      </w:r>
    </w:p>
    <w:p w14:paraId="42485506" w14:textId="77777777" w:rsidR="00BF7223" w:rsidRDefault="00BF7223" w:rsidP="006F001F">
      <w:pPr>
        <w:rPr>
          <w:b/>
        </w:rPr>
      </w:pPr>
    </w:p>
    <w:p w14:paraId="6BF2A5E3" w14:textId="77777777" w:rsidR="001851B0" w:rsidRDefault="001851B0" w:rsidP="006F001F">
      <w:pPr>
        <w:rPr>
          <w:b/>
        </w:rPr>
      </w:pPr>
    </w:p>
    <w:p w14:paraId="56D2E615" w14:textId="77777777" w:rsidR="003F2B4F" w:rsidRPr="00B54930" w:rsidRDefault="003F2B4F" w:rsidP="001851B0">
      <w:pPr>
        <w:jc w:val="both"/>
      </w:pPr>
      <w:r w:rsidRPr="00B54930">
        <w:rPr>
          <w:b/>
        </w:rPr>
        <w:lastRenderedPageBreak/>
        <w:t>Note:</w:t>
      </w:r>
    </w:p>
    <w:p w14:paraId="73D18DC4" w14:textId="77777777" w:rsidR="003F2B4F" w:rsidRDefault="003F2B4F" w:rsidP="001851B0">
      <w:pPr>
        <w:pStyle w:val="NoSpacing"/>
        <w:numPr>
          <w:ilvl w:val="0"/>
          <w:numId w:val="3"/>
        </w:numPr>
        <w:ind w:left="851"/>
        <w:jc w:val="both"/>
      </w:pPr>
      <w:r w:rsidRPr="003A504A">
        <w:rPr>
          <w:b/>
          <w:bCs/>
          <w:i/>
        </w:rPr>
        <w:t>Competent Person</w:t>
      </w:r>
      <w:r w:rsidRPr="00312D70">
        <w:t xml:space="preserve"> </w:t>
      </w:r>
      <w:r w:rsidR="00BE4535">
        <w:t>–</w:t>
      </w:r>
      <w:r>
        <w:t xml:space="preserve"> M</w:t>
      </w:r>
      <w:r w:rsidRPr="00DA0B52">
        <w:t>eans a person who has acquired,</w:t>
      </w:r>
      <w:r>
        <w:t xml:space="preserve"> through a combination of qualifications, training and experience, the knowledge and skill to perform the required task.</w:t>
      </w:r>
      <w:r w:rsidR="00F20ECD">
        <w:t xml:space="preserve"> </w:t>
      </w:r>
    </w:p>
    <w:p w14:paraId="493885C0" w14:textId="77777777" w:rsidR="003F2B4F" w:rsidRDefault="003F2B4F" w:rsidP="001851B0">
      <w:pPr>
        <w:pStyle w:val="NoSpacing"/>
        <w:ind w:left="851"/>
        <w:jc w:val="both"/>
      </w:pPr>
    </w:p>
    <w:p w14:paraId="186FDFCF" w14:textId="77777777" w:rsidR="003F2B4F" w:rsidRDefault="003F2B4F" w:rsidP="001851B0">
      <w:pPr>
        <w:pStyle w:val="ListParagraph"/>
        <w:numPr>
          <w:ilvl w:val="0"/>
          <w:numId w:val="2"/>
        </w:numPr>
        <w:ind w:left="851"/>
        <w:jc w:val="both"/>
      </w:pPr>
      <w:r w:rsidRPr="003A504A">
        <w:rPr>
          <w:b/>
          <w:bCs/>
          <w:i/>
        </w:rPr>
        <w:t>Inspection Register</w:t>
      </w:r>
      <w:r w:rsidRPr="004B71FD">
        <w:rPr>
          <w:i/>
        </w:rPr>
        <w:t xml:space="preserve"> </w:t>
      </w:r>
      <w:r w:rsidR="00BE4535">
        <w:rPr>
          <w:i/>
        </w:rPr>
        <w:t>–</w:t>
      </w:r>
      <w:r>
        <w:t xml:space="preserve"> May be in the form of Microsoft Excel spread-sheet (</w:t>
      </w:r>
      <w:r w:rsidR="007A4349">
        <w:t>provided in Appendix 3</w:t>
      </w:r>
      <w:r>
        <w:t>), accompanied by a covering letter signed by a duly authorised person within that Company stating their name and position.  Or (for smaller fleet operators/ owner-drivers) all inspection details on a single letter as above.  A blank template for th</w:t>
      </w:r>
      <w:r w:rsidR="006F001F">
        <w:t>is return is provided</w:t>
      </w:r>
      <w:r w:rsidR="00BE4535">
        <w:t xml:space="preserve"> in Appendix 2</w:t>
      </w:r>
      <w:r>
        <w:t xml:space="preserve">. </w:t>
      </w:r>
    </w:p>
    <w:p w14:paraId="16E9BF80" w14:textId="77777777" w:rsidR="003F2B4F" w:rsidRPr="00EA6D6B" w:rsidRDefault="003F2B4F" w:rsidP="001851B0">
      <w:pPr>
        <w:jc w:val="both"/>
        <w:rPr>
          <w:b/>
        </w:rPr>
      </w:pPr>
      <w:r w:rsidRPr="00EA6D6B">
        <w:rPr>
          <w:b/>
        </w:rPr>
        <w:t>For information:</w:t>
      </w:r>
    </w:p>
    <w:p w14:paraId="206446ED" w14:textId="77777777" w:rsidR="00D934CF" w:rsidRDefault="003F2B4F" w:rsidP="001851B0">
      <w:pPr>
        <w:pStyle w:val="ListParagraph"/>
        <w:numPr>
          <w:ilvl w:val="0"/>
          <w:numId w:val="2"/>
        </w:numPr>
        <w:ind w:left="360"/>
        <w:jc w:val="both"/>
      </w:pPr>
      <w:r w:rsidRPr="00EA6D6B">
        <w:t xml:space="preserve">Northport </w:t>
      </w:r>
      <w:r w:rsidR="0090195D">
        <w:t>have worked with</w:t>
      </w:r>
      <w:r w:rsidRPr="00EA6D6B">
        <w:t xml:space="preserve"> the Log Transport Safety Council </w:t>
      </w:r>
      <w:r w:rsidR="0090195D">
        <w:t xml:space="preserve">(LTSC) and </w:t>
      </w:r>
      <w:r w:rsidRPr="00EA6D6B">
        <w:t>Northland Freight Group to ensure the highest pra</w:t>
      </w:r>
      <w:r w:rsidR="00E22CE9" w:rsidRPr="00EA6D6B">
        <w:t xml:space="preserve">cticable standards are achieved at </w:t>
      </w:r>
      <w:r w:rsidRPr="00EA6D6B">
        <w:t xml:space="preserve">our gantries. Operator training and using appropriate, well maintained equipment </w:t>
      </w:r>
      <w:r w:rsidR="00D934CF" w:rsidRPr="00EA6D6B">
        <w:t>is essential for this to be achieved.</w:t>
      </w:r>
    </w:p>
    <w:p w14:paraId="4201B921" w14:textId="77777777" w:rsidR="00F20ECD" w:rsidRPr="00EA6D6B" w:rsidRDefault="00F20ECD" w:rsidP="001851B0">
      <w:pPr>
        <w:pStyle w:val="ListParagraph"/>
        <w:ind w:left="360"/>
        <w:jc w:val="both"/>
      </w:pPr>
    </w:p>
    <w:p w14:paraId="57280852" w14:textId="0048C98E" w:rsidR="008707AD" w:rsidRPr="00EA6D6B" w:rsidRDefault="00D934CF" w:rsidP="001851B0">
      <w:pPr>
        <w:pStyle w:val="ListParagraph"/>
        <w:numPr>
          <w:ilvl w:val="0"/>
          <w:numId w:val="2"/>
        </w:numPr>
        <w:ind w:left="360"/>
        <w:jc w:val="both"/>
      </w:pPr>
      <w:r w:rsidRPr="00EA6D6B">
        <w:t>The L</w:t>
      </w:r>
      <w:r w:rsidR="0090195D">
        <w:t>TSC</w:t>
      </w:r>
      <w:r w:rsidRPr="00EA6D6B">
        <w:t xml:space="preserve"> </w:t>
      </w:r>
      <w:r w:rsidR="0090195D">
        <w:t xml:space="preserve">have </w:t>
      </w:r>
      <w:r w:rsidRPr="00EA6D6B">
        <w:t>implement</w:t>
      </w:r>
      <w:r w:rsidR="0090195D">
        <w:t>ed</w:t>
      </w:r>
      <w:r w:rsidRPr="00EA6D6B">
        <w:t xml:space="preserve"> their own standards for safe gantry use</w:t>
      </w:r>
      <w:r w:rsidR="00B71387">
        <w:t xml:space="preserve"> however a</w:t>
      </w:r>
      <w:r w:rsidR="00E22CE9" w:rsidRPr="00EA6D6B">
        <w:t xml:space="preserve"> Northport ‘Gantry </w:t>
      </w:r>
      <w:r w:rsidR="00B71387">
        <w:t>Compliance’ sticker is</w:t>
      </w:r>
      <w:r w:rsidR="00E22CE9" w:rsidRPr="00EA6D6B">
        <w:t xml:space="preserve"> the only acceptable proof of compliance</w:t>
      </w:r>
      <w:r w:rsidR="00B71387">
        <w:t xml:space="preserve"> for using the Northport gantrie</w:t>
      </w:r>
      <w:r w:rsidR="0059218A">
        <w:t>s</w:t>
      </w:r>
      <w:r w:rsidR="00B71387">
        <w:t>.</w:t>
      </w:r>
    </w:p>
    <w:p w14:paraId="35D409C1" w14:textId="77777777" w:rsidR="001851B0" w:rsidRPr="001851B0" w:rsidRDefault="001851B0" w:rsidP="001851B0">
      <w:pPr>
        <w:jc w:val="both"/>
        <w:rPr>
          <w:b/>
        </w:rPr>
      </w:pPr>
    </w:p>
    <w:p w14:paraId="22871465" w14:textId="52430383" w:rsidR="0090195D" w:rsidRPr="001851B0" w:rsidRDefault="0090195D" w:rsidP="001851B0">
      <w:pPr>
        <w:jc w:val="both"/>
        <w:rPr>
          <w:b/>
        </w:rPr>
      </w:pPr>
      <w:r w:rsidRPr="001851B0">
        <w:rPr>
          <w:b/>
        </w:rPr>
        <w:t xml:space="preserve">Only Trucks displaying a </w:t>
      </w:r>
      <w:r w:rsidR="00FC6838">
        <w:rPr>
          <w:b/>
        </w:rPr>
        <w:t>red</w:t>
      </w:r>
      <w:r w:rsidRPr="001851B0">
        <w:rPr>
          <w:b/>
        </w:rPr>
        <w:t xml:space="preserve"> Northport Ltd ‘Gantry Compliance Expiry: 31 AUG 202</w:t>
      </w:r>
      <w:r w:rsidR="00FC6838">
        <w:rPr>
          <w:b/>
        </w:rPr>
        <w:t>2</w:t>
      </w:r>
      <w:r w:rsidRPr="001851B0">
        <w:rPr>
          <w:b/>
        </w:rPr>
        <w:t>’ sticker will be permitted to use the Northport Gantries from 30</w:t>
      </w:r>
      <w:r w:rsidRPr="001851B0">
        <w:rPr>
          <w:b/>
          <w:vertAlign w:val="superscript"/>
        </w:rPr>
        <w:t>th</w:t>
      </w:r>
      <w:r w:rsidRPr="001851B0">
        <w:rPr>
          <w:b/>
        </w:rPr>
        <w:t xml:space="preserve"> September 202</w:t>
      </w:r>
      <w:r w:rsidR="00FC6838">
        <w:rPr>
          <w:b/>
        </w:rPr>
        <w:t>1</w:t>
      </w:r>
      <w:r w:rsidRPr="001851B0">
        <w:rPr>
          <w:b/>
        </w:rPr>
        <w:t>.</w:t>
      </w:r>
    </w:p>
    <w:p w14:paraId="33263405" w14:textId="77777777" w:rsidR="0090195D" w:rsidRPr="001851B0" w:rsidRDefault="0090195D" w:rsidP="001851B0">
      <w:pPr>
        <w:jc w:val="both"/>
        <w:rPr>
          <w:b/>
        </w:rPr>
      </w:pPr>
      <w:r w:rsidRPr="001851B0">
        <w:rPr>
          <w:b/>
        </w:rPr>
        <w:t xml:space="preserve">Any queries, please contact Northport Limited on </w:t>
      </w:r>
      <w:hyperlink r:id="rId9" w:history="1">
        <w:r w:rsidRPr="001851B0">
          <w:rPr>
            <w:rStyle w:val="Hyperlink"/>
            <w:b/>
          </w:rPr>
          <w:t>hse@northport.co.nz</w:t>
        </w:r>
      </w:hyperlink>
    </w:p>
    <w:p w14:paraId="5BA668AD" w14:textId="77777777" w:rsidR="001851B0" w:rsidRDefault="001851B0" w:rsidP="00BE4535">
      <w:pPr>
        <w:jc w:val="center"/>
        <w:rPr>
          <w:b/>
          <w:sz w:val="28"/>
          <w:szCs w:val="28"/>
        </w:rPr>
      </w:pPr>
    </w:p>
    <w:p w14:paraId="1A0A8BEB" w14:textId="6EBE4519" w:rsidR="00BE4535" w:rsidRPr="00BF7223" w:rsidRDefault="00BE4535" w:rsidP="00BE4535">
      <w:pPr>
        <w:jc w:val="center"/>
        <w:rPr>
          <w:b/>
          <w:sz w:val="28"/>
          <w:szCs w:val="28"/>
        </w:rPr>
      </w:pPr>
      <w:r w:rsidRPr="00BF7223">
        <w:rPr>
          <w:b/>
          <w:sz w:val="28"/>
          <w:szCs w:val="28"/>
        </w:rPr>
        <w:t>Example of valid sticker for the period 1/9/20</w:t>
      </w:r>
      <w:r w:rsidR="006F7500">
        <w:rPr>
          <w:b/>
          <w:sz w:val="28"/>
          <w:szCs w:val="28"/>
        </w:rPr>
        <w:t>21</w:t>
      </w:r>
      <w:r w:rsidR="00DF18BB" w:rsidRPr="00BF7223">
        <w:rPr>
          <w:b/>
          <w:sz w:val="28"/>
          <w:szCs w:val="28"/>
        </w:rPr>
        <w:t xml:space="preserve"> – 31/8/20</w:t>
      </w:r>
      <w:r w:rsidR="00B36F35">
        <w:rPr>
          <w:b/>
          <w:sz w:val="28"/>
          <w:szCs w:val="28"/>
        </w:rPr>
        <w:t>2</w:t>
      </w:r>
      <w:r w:rsidR="006F7500">
        <w:rPr>
          <w:b/>
          <w:sz w:val="28"/>
          <w:szCs w:val="28"/>
        </w:rPr>
        <w:t>2</w:t>
      </w:r>
    </w:p>
    <w:p w14:paraId="21A66C66" w14:textId="30C02609" w:rsidR="00BE4535" w:rsidRPr="00BF7223" w:rsidRDefault="009A230F" w:rsidP="00BE4535">
      <w:pPr>
        <w:jc w:val="center"/>
        <w:rPr>
          <w:lang w:eastAsia="en-NZ"/>
        </w:rPr>
      </w:pPr>
      <w:r>
        <w:rPr>
          <w:noProof/>
        </w:rPr>
        <w:drawing>
          <wp:inline distT="0" distB="0" distL="0" distR="0" wp14:anchorId="567FE2C3" wp14:editId="475E039D">
            <wp:extent cx="3181350" cy="3016749"/>
            <wp:effectExtent l="0" t="0" r="0" b="0"/>
            <wp:docPr id="4" name="Picture 4" descr="A red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sign with white 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1353" cy="30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371C" w14:textId="04247637" w:rsidR="00DF18BB" w:rsidRDefault="006F7500" w:rsidP="00DF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Yellow</w:t>
      </w:r>
      <w:r w:rsidR="00DF18BB" w:rsidRPr="00BF7223">
        <w:rPr>
          <w:b/>
          <w:sz w:val="28"/>
          <w:szCs w:val="28"/>
        </w:rPr>
        <w:t xml:space="preserve"> stickers are</w:t>
      </w:r>
      <w:r w:rsidR="00616529">
        <w:rPr>
          <w:b/>
          <w:sz w:val="28"/>
          <w:szCs w:val="28"/>
        </w:rPr>
        <w:t xml:space="preserve"> no longer valid after 30</w:t>
      </w:r>
      <w:r w:rsidR="00BF7223">
        <w:rPr>
          <w:b/>
          <w:sz w:val="28"/>
          <w:szCs w:val="28"/>
        </w:rPr>
        <w:t>/</w:t>
      </w:r>
      <w:r w:rsidR="00616529">
        <w:rPr>
          <w:b/>
          <w:sz w:val="28"/>
          <w:szCs w:val="28"/>
        </w:rPr>
        <w:t>9</w:t>
      </w:r>
      <w:r w:rsidR="00BF7223">
        <w:rPr>
          <w:b/>
          <w:sz w:val="28"/>
          <w:szCs w:val="28"/>
        </w:rPr>
        <w:t>/20</w:t>
      </w:r>
      <w:r w:rsidR="00FE59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14:paraId="78E3ED88" w14:textId="77777777" w:rsidR="0090195D" w:rsidRDefault="009019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1C7BBB" w14:textId="77777777" w:rsidR="00C56F75" w:rsidRDefault="00C56F75" w:rsidP="00C56F75">
      <w:pPr>
        <w:rPr>
          <w:b/>
          <w:sz w:val="32"/>
          <w:szCs w:val="32"/>
        </w:rPr>
      </w:pPr>
    </w:p>
    <w:p w14:paraId="6EC3A28D" w14:textId="77777777" w:rsidR="00C56F75" w:rsidRPr="00542463" w:rsidRDefault="00C56F75" w:rsidP="00C56F75">
      <w:r w:rsidRPr="00542463">
        <w:rPr>
          <w:b/>
          <w:sz w:val="32"/>
          <w:szCs w:val="32"/>
        </w:rPr>
        <w:t>Risk Register – Northport Limited Gantry Operations</w:t>
      </w:r>
    </w:p>
    <w:p w14:paraId="623FF175" w14:textId="77777777" w:rsidR="00C56F75" w:rsidRDefault="00C56F75" w:rsidP="00C56F75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2146"/>
        <w:tblW w:w="9018" w:type="dxa"/>
        <w:tblLook w:val="04A0" w:firstRow="1" w:lastRow="0" w:firstColumn="1" w:lastColumn="0" w:noHBand="0" w:noVBand="1"/>
      </w:tblPr>
      <w:tblGrid>
        <w:gridCol w:w="1761"/>
        <w:gridCol w:w="7257"/>
      </w:tblGrid>
      <w:tr w:rsidR="00C56F75" w:rsidRPr="00542463" w14:paraId="3A98758B" w14:textId="77777777" w:rsidTr="00536322">
        <w:trPr>
          <w:trHeight w:val="238"/>
        </w:trPr>
        <w:tc>
          <w:tcPr>
            <w:tcW w:w="1761" w:type="dxa"/>
            <w:shd w:val="clear" w:color="auto" w:fill="D9D9D9" w:themeFill="background1" w:themeFillShade="D9"/>
          </w:tcPr>
          <w:p w14:paraId="4A1F079F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7257" w:type="dxa"/>
            <w:shd w:val="clear" w:color="auto" w:fill="D9D9D9" w:themeFill="background1" w:themeFillShade="D9"/>
          </w:tcPr>
          <w:p w14:paraId="23742ABE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Controls / Rules</w:t>
            </w:r>
          </w:p>
        </w:tc>
      </w:tr>
      <w:tr w:rsidR="00C56F75" w:rsidRPr="00542463" w14:paraId="4A4B19E2" w14:textId="77777777" w:rsidTr="00536322">
        <w:trPr>
          <w:trHeight w:val="238"/>
        </w:trPr>
        <w:tc>
          <w:tcPr>
            <w:tcW w:w="1761" w:type="dxa"/>
          </w:tcPr>
          <w:p w14:paraId="05E22A05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Raised Trailer</w:t>
            </w:r>
          </w:p>
          <w:p w14:paraId="5072B118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Cs/>
                <w:sz w:val="22"/>
                <w:szCs w:val="22"/>
              </w:rPr>
              <w:t>(Suspended Load)</w:t>
            </w:r>
          </w:p>
        </w:tc>
        <w:tc>
          <w:tcPr>
            <w:tcW w:w="7257" w:type="dxa"/>
          </w:tcPr>
          <w:p w14:paraId="5B00D729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Cs/>
                <w:sz w:val="22"/>
                <w:szCs w:val="22"/>
              </w:rPr>
              <w:t>Operator to ensure they and any bystanders or assistants are as far as practicable from the suspended load (trailer). Working under a raised trailer will result in serious harm or death should the trailer drop for any reason.</w:t>
            </w:r>
          </w:p>
        </w:tc>
      </w:tr>
      <w:tr w:rsidR="00C56F75" w:rsidRPr="00542463" w14:paraId="024C3CAE" w14:textId="77777777" w:rsidTr="00536322">
        <w:trPr>
          <w:trHeight w:val="238"/>
        </w:trPr>
        <w:tc>
          <w:tcPr>
            <w:tcW w:w="1761" w:type="dxa"/>
          </w:tcPr>
          <w:p w14:paraId="3E2CD2B6" w14:textId="77777777" w:rsidR="00C56F75" w:rsidRPr="00542463" w:rsidRDefault="00C56F75" w:rsidP="005363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Damaged or non-compliant Lifting Chains</w:t>
            </w:r>
          </w:p>
        </w:tc>
        <w:tc>
          <w:tcPr>
            <w:tcW w:w="7257" w:type="dxa"/>
          </w:tcPr>
          <w:p w14:paraId="589C6143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2463">
              <w:rPr>
                <w:rFonts w:asciiTheme="minorHAnsi" w:hAnsiTheme="minorHAnsi"/>
                <w:sz w:val="22"/>
                <w:szCs w:val="22"/>
              </w:rPr>
              <w:t>Trailer lifting chains must be certified and compliant with LTSC standards with respect to grade and configuration. and inspected by a competent person at least annually. Additionally</w:t>
            </w:r>
            <w:r w:rsidR="00E20A71">
              <w:rPr>
                <w:rFonts w:asciiTheme="minorHAnsi" w:hAnsiTheme="minorHAnsi"/>
                <w:sz w:val="22"/>
                <w:szCs w:val="22"/>
              </w:rPr>
              <w:t>,</w:t>
            </w:r>
            <w:r w:rsidRPr="00542463">
              <w:rPr>
                <w:rFonts w:asciiTheme="minorHAnsi" w:hAnsiTheme="minorHAnsi"/>
                <w:sz w:val="22"/>
                <w:szCs w:val="22"/>
              </w:rPr>
              <w:t xml:space="preserve"> the operator is required to inspect the chains for visual defects prior to each lift.</w:t>
            </w:r>
          </w:p>
        </w:tc>
      </w:tr>
      <w:tr w:rsidR="00C56F75" w:rsidRPr="00542463" w14:paraId="16E6E2EB" w14:textId="77777777" w:rsidTr="00536322">
        <w:trPr>
          <w:trHeight w:val="238"/>
        </w:trPr>
        <w:tc>
          <w:tcPr>
            <w:tcW w:w="1761" w:type="dxa"/>
          </w:tcPr>
          <w:p w14:paraId="41C0A3EC" w14:textId="77777777" w:rsidR="00C56F75" w:rsidRPr="00542463" w:rsidRDefault="00C56F75" w:rsidP="005363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Traffic</w:t>
            </w:r>
          </w:p>
        </w:tc>
        <w:tc>
          <w:tcPr>
            <w:tcW w:w="7257" w:type="dxa"/>
          </w:tcPr>
          <w:p w14:paraId="165D5DDF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2463">
              <w:rPr>
                <w:rFonts w:asciiTheme="minorHAnsi" w:hAnsiTheme="minorHAnsi"/>
                <w:sz w:val="22"/>
                <w:szCs w:val="22"/>
              </w:rPr>
              <w:t xml:space="preserve">Gantry operators to be aware of other trucks and mobile plant in the vicinity of the gantry to ensure no interactions between their operation and the adjacent gantry, fuel pumps, </w:t>
            </w:r>
            <w:proofErr w:type="gramStart"/>
            <w:r w:rsidRPr="00542463">
              <w:rPr>
                <w:rFonts w:asciiTheme="minorHAnsi" w:hAnsiTheme="minorHAnsi"/>
                <w:sz w:val="22"/>
                <w:szCs w:val="22"/>
              </w:rPr>
              <w:t>roadway</w:t>
            </w:r>
            <w:proofErr w:type="gramEnd"/>
            <w:r w:rsidRPr="00542463">
              <w:rPr>
                <w:rFonts w:asciiTheme="minorHAnsi" w:hAnsiTheme="minorHAnsi"/>
                <w:sz w:val="22"/>
                <w:szCs w:val="22"/>
              </w:rPr>
              <w:t xml:space="preserve"> or log yard. Workers must </w:t>
            </w:r>
            <w:proofErr w:type="gramStart"/>
            <w:r w:rsidRPr="00542463">
              <w:rPr>
                <w:rFonts w:asciiTheme="minorHAnsi" w:hAnsiTheme="minorHAnsi"/>
                <w:sz w:val="22"/>
                <w:szCs w:val="22"/>
              </w:rPr>
              <w:t>wear hi-vis at all times</w:t>
            </w:r>
            <w:proofErr w:type="gramEnd"/>
            <w:r w:rsidRPr="00542463">
              <w:rPr>
                <w:rFonts w:asciiTheme="minorHAnsi" w:hAnsiTheme="minorHAnsi"/>
                <w:sz w:val="22"/>
                <w:szCs w:val="22"/>
              </w:rPr>
              <w:t xml:space="preserve"> at Northport and light vehicles are required to display an amber flashing light.</w:t>
            </w:r>
          </w:p>
        </w:tc>
      </w:tr>
      <w:tr w:rsidR="00C56F75" w:rsidRPr="00542463" w14:paraId="0C614CAD" w14:textId="77777777" w:rsidTr="00536322">
        <w:trPr>
          <w:trHeight w:val="238"/>
        </w:trPr>
        <w:tc>
          <w:tcPr>
            <w:tcW w:w="1761" w:type="dxa"/>
          </w:tcPr>
          <w:p w14:paraId="329C1FF9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Dropped Items</w:t>
            </w:r>
          </w:p>
        </w:tc>
        <w:tc>
          <w:tcPr>
            <w:tcW w:w="7257" w:type="dxa"/>
          </w:tcPr>
          <w:p w14:paraId="2A835BB1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Cs/>
                <w:sz w:val="22"/>
                <w:szCs w:val="22"/>
              </w:rPr>
              <w:t>Clear loose bark and debris off trailer before lifting. Hard hat and protective footwear are mandatory within the gantry area.</w:t>
            </w:r>
          </w:p>
        </w:tc>
      </w:tr>
      <w:tr w:rsidR="00C56F75" w:rsidRPr="00542463" w14:paraId="10746A09" w14:textId="77777777" w:rsidTr="00536322">
        <w:trPr>
          <w:trHeight w:val="238"/>
        </w:trPr>
        <w:tc>
          <w:tcPr>
            <w:tcW w:w="1761" w:type="dxa"/>
          </w:tcPr>
          <w:p w14:paraId="0BC7453E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Trailer Swinging</w:t>
            </w:r>
          </w:p>
        </w:tc>
        <w:tc>
          <w:tcPr>
            <w:tcW w:w="7257" w:type="dxa"/>
          </w:tcPr>
          <w:p w14:paraId="76B81E6E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2463">
              <w:rPr>
                <w:rFonts w:asciiTheme="minorHAnsi" w:hAnsiTheme="minorHAnsi"/>
                <w:sz w:val="22"/>
                <w:szCs w:val="22"/>
              </w:rPr>
              <w:t xml:space="preserve">Waiting trucks must stop before the marked white line. The operator and other workers must stay well clear of the swing zone during a lift. </w:t>
            </w:r>
          </w:p>
        </w:tc>
      </w:tr>
      <w:tr w:rsidR="00C56F75" w:rsidRPr="00542463" w14:paraId="500EDBB6" w14:textId="77777777" w:rsidTr="00536322">
        <w:trPr>
          <w:trHeight w:val="238"/>
        </w:trPr>
        <w:tc>
          <w:tcPr>
            <w:tcW w:w="1761" w:type="dxa"/>
          </w:tcPr>
          <w:p w14:paraId="5D148959" w14:textId="77777777" w:rsidR="00C56F75" w:rsidRPr="00542463" w:rsidRDefault="00C56F75" w:rsidP="005363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Pinch Points</w:t>
            </w:r>
          </w:p>
        </w:tc>
        <w:tc>
          <w:tcPr>
            <w:tcW w:w="7257" w:type="dxa"/>
          </w:tcPr>
          <w:p w14:paraId="77E6105E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2463">
              <w:rPr>
                <w:rFonts w:asciiTheme="minorHAnsi" w:hAnsiTheme="minorHAnsi"/>
                <w:sz w:val="22"/>
                <w:szCs w:val="22"/>
              </w:rPr>
              <w:t>When rotating the drawbar ensure you are not caught between the drawbar and the trailer or gantry frame. The momentum of a rotating drawbar or swinging trailer can cause serious injury upon impact. Gloves to be considered by the operator to mitigate the risk of hand injuries from pinching or abrasion.</w:t>
            </w:r>
          </w:p>
        </w:tc>
      </w:tr>
      <w:tr w:rsidR="00C56F75" w:rsidRPr="00542463" w14:paraId="388DF875" w14:textId="77777777" w:rsidTr="00536322">
        <w:trPr>
          <w:trHeight w:val="238"/>
        </w:trPr>
        <w:tc>
          <w:tcPr>
            <w:tcW w:w="1761" w:type="dxa"/>
          </w:tcPr>
          <w:p w14:paraId="650FAECE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Trailer Debris</w:t>
            </w:r>
          </w:p>
        </w:tc>
        <w:tc>
          <w:tcPr>
            <w:tcW w:w="7257" w:type="dxa"/>
          </w:tcPr>
          <w:p w14:paraId="25B1FEF0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2463">
              <w:rPr>
                <w:rFonts w:asciiTheme="minorHAnsi" w:hAnsiTheme="minorHAnsi"/>
                <w:sz w:val="22"/>
                <w:szCs w:val="22"/>
              </w:rPr>
              <w:t>Watch for trailer debris. Failure to notice debris may result in an injury from tripping.  Keep area clean and tidy and consider glasses if conditions are dusty.</w:t>
            </w:r>
          </w:p>
        </w:tc>
      </w:tr>
      <w:tr w:rsidR="00C56F75" w:rsidRPr="00542463" w14:paraId="00165403" w14:textId="77777777" w:rsidTr="00536322">
        <w:trPr>
          <w:trHeight w:val="238"/>
        </w:trPr>
        <w:tc>
          <w:tcPr>
            <w:tcW w:w="1761" w:type="dxa"/>
          </w:tcPr>
          <w:p w14:paraId="39816DFB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Slips/Trips/Falls</w:t>
            </w:r>
          </w:p>
        </w:tc>
        <w:tc>
          <w:tcPr>
            <w:tcW w:w="7257" w:type="dxa"/>
          </w:tcPr>
          <w:p w14:paraId="356508FB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2463">
              <w:rPr>
                <w:rFonts w:asciiTheme="minorHAnsi" w:hAnsiTheme="minorHAnsi"/>
                <w:sz w:val="22"/>
                <w:szCs w:val="22"/>
              </w:rPr>
              <w:t xml:space="preserve">Take care and use three points of contact when removing the lifting ring from the trailer and when accessing and egressing from your cab. </w:t>
            </w:r>
          </w:p>
        </w:tc>
      </w:tr>
      <w:tr w:rsidR="00C56F75" w:rsidRPr="00542463" w14:paraId="05F9C6B4" w14:textId="77777777" w:rsidTr="00536322">
        <w:trPr>
          <w:trHeight w:val="238"/>
        </w:trPr>
        <w:tc>
          <w:tcPr>
            <w:tcW w:w="1761" w:type="dxa"/>
          </w:tcPr>
          <w:p w14:paraId="73A1ADDC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Other people</w:t>
            </w:r>
          </w:p>
        </w:tc>
        <w:tc>
          <w:tcPr>
            <w:tcW w:w="7257" w:type="dxa"/>
          </w:tcPr>
          <w:p w14:paraId="1C97C8A9" w14:textId="77777777" w:rsidR="00C56F75" w:rsidRPr="00542463" w:rsidRDefault="00C56F75" w:rsidP="00536322">
            <w:pPr>
              <w:jc w:val="both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542463">
              <w:rPr>
                <w:rFonts w:asciiTheme="minorHAnsi" w:hAnsiTheme="minorHAnsi" w:cs="Verdana"/>
                <w:bCs/>
                <w:sz w:val="22"/>
                <w:szCs w:val="22"/>
              </w:rPr>
              <w:t xml:space="preserve">Ensure non-approved persons are not in proximity to the lifting area. The operator is responsible for ensuring the gantry and bystanders are safe to use. </w:t>
            </w:r>
          </w:p>
        </w:tc>
      </w:tr>
      <w:tr w:rsidR="00C56F75" w:rsidRPr="00542463" w14:paraId="33447E70" w14:textId="77777777" w:rsidTr="00536322">
        <w:trPr>
          <w:trHeight w:val="238"/>
        </w:trPr>
        <w:tc>
          <w:tcPr>
            <w:tcW w:w="1761" w:type="dxa"/>
          </w:tcPr>
          <w:p w14:paraId="5A48898F" w14:textId="77777777" w:rsidR="00C56F75" w:rsidRPr="00542463" w:rsidRDefault="00C56F75" w:rsidP="005363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Manual Handling</w:t>
            </w:r>
          </w:p>
        </w:tc>
        <w:tc>
          <w:tcPr>
            <w:tcW w:w="7257" w:type="dxa"/>
          </w:tcPr>
          <w:p w14:paraId="2BD20632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2463">
              <w:rPr>
                <w:rFonts w:asciiTheme="minorHAnsi" w:hAnsiTheme="minorHAnsi"/>
                <w:sz w:val="22"/>
                <w:szCs w:val="22"/>
              </w:rPr>
              <w:t xml:space="preserve">Maintenance of the trailer and lifting hardware for ease of movement. Correct technique is important to minimise stress on the body. Consider assistance from a second competent gantry operator (when available). </w:t>
            </w:r>
          </w:p>
        </w:tc>
      </w:tr>
      <w:tr w:rsidR="00C56F75" w:rsidRPr="00542463" w14:paraId="10EBFD25" w14:textId="77777777" w:rsidTr="00536322">
        <w:trPr>
          <w:trHeight w:val="238"/>
        </w:trPr>
        <w:tc>
          <w:tcPr>
            <w:tcW w:w="1761" w:type="dxa"/>
          </w:tcPr>
          <w:p w14:paraId="65B35318" w14:textId="77777777" w:rsidR="00C56F75" w:rsidRPr="00542463" w:rsidRDefault="00C56F75" w:rsidP="005363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Emergencies</w:t>
            </w:r>
          </w:p>
        </w:tc>
        <w:tc>
          <w:tcPr>
            <w:tcW w:w="7257" w:type="dxa"/>
          </w:tcPr>
          <w:p w14:paraId="2B87B9B4" w14:textId="77777777" w:rsidR="00C56F75" w:rsidRPr="00542463" w:rsidRDefault="00C56F75" w:rsidP="00536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2463">
              <w:rPr>
                <w:rFonts w:asciiTheme="minorHAnsi" w:hAnsiTheme="minorHAnsi"/>
                <w:sz w:val="22"/>
                <w:szCs w:val="22"/>
              </w:rPr>
              <w:t>Port Alarm site adjacent to the Western gantry. Full 24/7 camera surveillance. Port Services and Refining NZ available 24/7 for fast and effective support.</w:t>
            </w:r>
          </w:p>
        </w:tc>
      </w:tr>
      <w:tr w:rsidR="00C56F75" w:rsidRPr="00542463" w14:paraId="35BA1EBE" w14:textId="77777777" w:rsidTr="00536322">
        <w:trPr>
          <w:trHeight w:val="238"/>
        </w:trPr>
        <w:tc>
          <w:tcPr>
            <w:tcW w:w="1761" w:type="dxa"/>
          </w:tcPr>
          <w:p w14:paraId="485B243F" w14:textId="77777777" w:rsidR="00C56F75" w:rsidRPr="00542463" w:rsidRDefault="00C56F75" w:rsidP="005363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2463">
              <w:rPr>
                <w:rFonts w:asciiTheme="minorHAnsi" w:hAnsiTheme="minorHAnsi"/>
                <w:b/>
                <w:sz w:val="22"/>
                <w:szCs w:val="22"/>
              </w:rPr>
              <w:t>Unauthorised modification to gantry components</w:t>
            </w:r>
          </w:p>
        </w:tc>
        <w:tc>
          <w:tcPr>
            <w:tcW w:w="7257" w:type="dxa"/>
          </w:tcPr>
          <w:p w14:paraId="6B8A5A61" w14:textId="77777777" w:rsidR="00C56F75" w:rsidRPr="00542463" w:rsidRDefault="00616529" w:rsidP="006165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C56F75">
              <w:rPr>
                <w:rFonts w:asciiTheme="minorHAnsi" w:hAnsiTheme="minorHAnsi"/>
                <w:sz w:val="22"/>
                <w:szCs w:val="22"/>
              </w:rPr>
              <w:t xml:space="preserve">antry operators </w:t>
            </w:r>
            <w:r>
              <w:rPr>
                <w:rFonts w:asciiTheme="minorHAnsi" w:hAnsiTheme="minorHAnsi"/>
                <w:sz w:val="22"/>
                <w:szCs w:val="22"/>
              </w:rPr>
              <w:t>must not</w:t>
            </w:r>
            <w:r w:rsidR="00C56F75">
              <w:rPr>
                <w:rFonts w:asciiTheme="minorHAnsi" w:hAnsiTheme="minorHAnsi"/>
                <w:sz w:val="22"/>
                <w:szCs w:val="22"/>
              </w:rPr>
              <w:t xml:space="preserve"> modify any aspect of the Northport gantry or gantry hook. Drivers are required to perform a pre-operational check of their lifting gear and the gantry with any faults reported to Northport Ltd prior to use. </w:t>
            </w:r>
            <w:r w:rsidR="00C56F75" w:rsidRPr="00542463">
              <w:rPr>
                <w:rFonts w:asciiTheme="minorHAnsi" w:hAnsiTheme="minorHAnsi"/>
                <w:sz w:val="22"/>
                <w:szCs w:val="22"/>
              </w:rPr>
              <w:t xml:space="preserve"> Full 24/7 camera surveillance</w:t>
            </w:r>
            <w:r w:rsidR="00C56F75">
              <w:rPr>
                <w:rFonts w:asciiTheme="minorHAnsi" w:hAnsiTheme="minorHAnsi"/>
                <w:sz w:val="22"/>
                <w:szCs w:val="22"/>
              </w:rPr>
              <w:t xml:space="preserve"> and proximity to the Port Services Centre support compliance.</w:t>
            </w:r>
            <w:r w:rsidR="00C56F75" w:rsidRPr="0054246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03A4141" w14:textId="77777777" w:rsidR="00C56F75" w:rsidRDefault="00C56F75" w:rsidP="00C56F75">
      <w:pPr>
        <w:jc w:val="center"/>
        <w:rPr>
          <w:b/>
        </w:rPr>
      </w:pPr>
    </w:p>
    <w:p w14:paraId="15E6397A" w14:textId="77777777" w:rsidR="00C56F75" w:rsidRDefault="00C56F75" w:rsidP="00C56F75">
      <w:pPr>
        <w:jc w:val="center"/>
        <w:rPr>
          <w:b/>
        </w:rPr>
      </w:pPr>
    </w:p>
    <w:p w14:paraId="3C37AF26" w14:textId="77777777" w:rsidR="00C56F75" w:rsidRPr="00E20A71" w:rsidRDefault="00C56F75" w:rsidP="00C56F75">
      <w:pPr>
        <w:jc w:val="center"/>
        <w:rPr>
          <w:b/>
        </w:rPr>
      </w:pPr>
      <w:r w:rsidRPr="00E20A71">
        <w:rPr>
          <w:b/>
        </w:rPr>
        <w:t xml:space="preserve">FOR ADVICE OR </w:t>
      </w:r>
      <w:r w:rsidR="00616529" w:rsidRPr="00E20A71">
        <w:rPr>
          <w:b/>
        </w:rPr>
        <w:t xml:space="preserve">TO REQUEST ASSISTANCE: </w:t>
      </w:r>
      <w:r w:rsidRPr="00E20A71">
        <w:rPr>
          <w:b/>
        </w:rPr>
        <w:t>CALL PORT</w:t>
      </w:r>
      <w:r w:rsidR="00616529" w:rsidRPr="00E20A71">
        <w:rPr>
          <w:b/>
        </w:rPr>
        <w:t xml:space="preserve"> </w:t>
      </w:r>
      <w:r w:rsidRPr="00E20A71">
        <w:rPr>
          <w:b/>
        </w:rPr>
        <w:t>SERVICES 09 432 5018</w:t>
      </w:r>
      <w:r w:rsidR="00616529" w:rsidRPr="00E20A71">
        <w:rPr>
          <w:b/>
        </w:rPr>
        <w:t xml:space="preserve"> (24/7)</w:t>
      </w:r>
    </w:p>
    <w:p w14:paraId="3F4716A0" w14:textId="77777777" w:rsidR="00C56F75" w:rsidRPr="00EA6D6B" w:rsidRDefault="00C56F75" w:rsidP="00DF18BB">
      <w:pPr>
        <w:jc w:val="center"/>
        <w:rPr>
          <w:b/>
          <w:sz w:val="28"/>
          <w:szCs w:val="28"/>
        </w:rPr>
      </w:pPr>
    </w:p>
    <w:p w14:paraId="253BDF74" w14:textId="77777777" w:rsidR="00BE4535" w:rsidRPr="00F820CF" w:rsidRDefault="00BE4535" w:rsidP="00BE4535">
      <w:pPr>
        <w:tabs>
          <w:tab w:val="left" w:pos="6390"/>
        </w:tabs>
        <w:rPr>
          <w:b/>
        </w:rPr>
      </w:pPr>
      <w:r>
        <w:rPr>
          <w:lang w:eastAsia="en-NZ"/>
        </w:rPr>
        <w:tab/>
      </w:r>
    </w:p>
    <w:p w14:paraId="04F82B21" w14:textId="77777777" w:rsidR="00BE4535" w:rsidRDefault="00BE4535" w:rsidP="00BD4F36">
      <w:pPr>
        <w:jc w:val="center"/>
        <w:rPr>
          <w:b/>
          <w:sz w:val="24"/>
          <w:szCs w:val="24"/>
          <w:u w:val="single"/>
        </w:rPr>
      </w:pPr>
    </w:p>
    <w:p w14:paraId="3F9B3721" w14:textId="77777777" w:rsidR="00BE4535" w:rsidRDefault="00BE4535" w:rsidP="00BD4F36">
      <w:pPr>
        <w:jc w:val="center"/>
        <w:rPr>
          <w:b/>
          <w:sz w:val="24"/>
          <w:szCs w:val="24"/>
          <w:u w:val="single"/>
        </w:rPr>
      </w:pPr>
    </w:p>
    <w:p w14:paraId="409EB1EC" w14:textId="77777777" w:rsidR="00BE4535" w:rsidRDefault="00BE4535" w:rsidP="00BD4F36">
      <w:pPr>
        <w:jc w:val="center"/>
        <w:rPr>
          <w:b/>
          <w:sz w:val="24"/>
          <w:szCs w:val="24"/>
          <w:u w:val="single"/>
        </w:rPr>
      </w:pPr>
    </w:p>
    <w:p w14:paraId="231C88C5" w14:textId="77777777" w:rsidR="0088618B" w:rsidRDefault="00BD4F36" w:rsidP="00BD4F36">
      <w:pPr>
        <w:jc w:val="center"/>
        <w:rPr>
          <w:b/>
          <w:sz w:val="24"/>
          <w:szCs w:val="24"/>
          <w:u w:val="single"/>
        </w:rPr>
      </w:pPr>
      <w:r w:rsidRPr="00BD4F36">
        <w:rPr>
          <w:b/>
          <w:sz w:val="24"/>
          <w:szCs w:val="24"/>
          <w:u w:val="single"/>
        </w:rPr>
        <w:t xml:space="preserve">Appendix 1: </w:t>
      </w:r>
      <w:r w:rsidR="007B5C85" w:rsidRPr="00BD4F36">
        <w:rPr>
          <w:b/>
          <w:sz w:val="24"/>
          <w:szCs w:val="24"/>
          <w:u w:val="single"/>
        </w:rPr>
        <w:t xml:space="preserve">Northport </w:t>
      </w:r>
      <w:r w:rsidR="00BE4535">
        <w:rPr>
          <w:b/>
          <w:sz w:val="24"/>
          <w:szCs w:val="24"/>
          <w:u w:val="single"/>
        </w:rPr>
        <w:t>–</w:t>
      </w:r>
      <w:r w:rsidR="007B5C85" w:rsidRPr="00BD4F36">
        <w:rPr>
          <w:b/>
          <w:sz w:val="24"/>
          <w:szCs w:val="24"/>
          <w:u w:val="single"/>
        </w:rPr>
        <w:t xml:space="preserve"> Gantry Operating Procedure</w:t>
      </w:r>
    </w:p>
    <w:p w14:paraId="18B7C5D6" w14:textId="77777777" w:rsidR="008707AD" w:rsidRPr="0088618B" w:rsidRDefault="00BD4F36" w:rsidP="00BD4F36">
      <w:pPr>
        <w:jc w:val="center"/>
        <w:rPr>
          <w:sz w:val="24"/>
          <w:szCs w:val="24"/>
        </w:rPr>
      </w:pPr>
      <w:r w:rsidRPr="0088618B">
        <w:rPr>
          <w:sz w:val="24"/>
          <w:szCs w:val="24"/>
        </w:rPr>
        <w:t>(</w:t>
      </w:r>
      <w:r w:rsidR="0062404B" w:rsidRPr="0088618B">
        <w:rPr>
          <w:sz w:val="24"/>
          <w:szCs w:val="24"/>
        </w:rPr>
        <w:t>Note</w:t>
      </w:r>
      <w:r w:rsidR="0088618B" w:rsidRPr="0088618B">
        <w:rPr>
          <w:sz w:val="24"/>
          <w:szCs w:val="24"/>
        </w:rPr>
        <w:t>:</w:t>
      </w:r>
      <w:r w:rsidR="0062404B" w:rsidRPr="0088618B">
        <w:rPr>
          <w:sz w:val="24"/>
          <w:szCs w:val="24"/>
        </w:rPr>
        <w:t xml:space="preserve"> </w:t>
      </w:r>
      <w:r w:rsidR="0088618B">
        <w:rPr>
          <w:sz w:val="24"/>
          <w:szCs w:val="24"/>
        </w:rPr>
        <w:t xml:space="preserve">Western Gantry SWL is 8T, </w:t>
      </w:r>
      <w:r w:rsidR="0088618B" w:rsidRPr="0088618B">
        <w:rPr>
          <w:sz w:val="24"/>
          <w:szCs w:val="24"/>
        </w:rPr>
        <w:t>Eastern</w:t>
      </w:r>
      <w:r w:rsidR="0062404B" w:rsidRPr="0088618B">
        <w:rPr>
          <w:sz w:val="24"/>
          <w:szCs w:val="24"/>
        </w:rPr>
        <w:t xml:space="preserve"> Gantry</w:t>
      </w:r>
      <w:r w:rsidRPr="0088618B">
        <w:rPr>
          <w:sz w:val="24"/>
          <w:szCs w:val="24"/>
        </w:rPr>
        <w:t xml:space="preserve"> </w:t>
      </w:r>
      <w:r w:rsidR="0062404B" w:rsidRPr="0088618B">
        <w:rPr>
          <w:sz w:val="24"/>
          <w:szCs w:val="24"/>
        </w:rPr>
        <w:t xml:space="preserve">SWL is </w:t>
      </w:r>
      <w:r w:rsidRPr="0088618B">
        <w:rPr>
          <w:sz w:val="24"/>
          <w:szCs w:val="24"/>
        </w:rPr>
        <w:t>10T</w:t>
      </w:r>
      <w:r w:rsidR="0062404B" w:rsidRPr="0088618B">
        <w:rPr>
          <w:sz w:val="24"/>
          <w:szCs w:val="24"/>
        </w:rPr>
        <w:t>)</w:t>
      </w:r>
    </w:p>
    <w:tbl>
      <w:tblPr>
        <w:tblW w:w="8489" w:type="dxa"/>
        <w:tblInd w:w="93" w:type="dxa"/>
        <w:tblLook w:val="04A0" w:firstRow="1" w:lastRow="0" w:firstColumn="1" w:lastColumn="0" w:noHBand="0" w:noVBand="1"/>
      </w:tblPr>
      <w:tblGrid>
        <w:gridCol w:w="727"/>
        <w:gridCol w:w="7762"/>
      </w:tblGrid>
      <w:tr w:rsidR="0088618B" w:rsidRPr="0088618B" w14:paraId="2F2935D4" w14:textId="77777777" w:rsidTr="00EC19F5">
        <w:trPr>
          <w:trHeight w:val="614"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D2D552B" w14:textId="77777777" w:rsidR="0088618B" w:rsidRPr="00E20A71" w:rsidRDefault="0088618B" w:rsidP="00C5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en-NZ"/>
              </w:rPr>
            </w:pPr>
            <w:r w:rsidRPr="00E20A71"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en-NZ"/>
              </w:rPr>
              <w:t xml:space="preserve">Northport </w:t>
            </w:r>
            <w:r w:rsidR="00C56F75" w:rsidRPr="00E20A71"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en-NZ"/>
              </w:rPr>
              <w:t>Limited</w:t>
            </w:r>
          </w:p>
        </w:tc>
      </w:tr>
      <w:tr w:rsidR="0088618B" w:rsidRPr="0088618B" w14:paraId="156747DC" w14:textId="77777777" w:rsidTr="00EC19F5">
        <w:trPr>
          <w:trHeight w:val="614"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B02CC5F" w14:textId="77777777" w:rsidR="0088618B" w:rsidRPr="00E20A71" w:rsidRDefault="00C56F75" w:rsidP="00C56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en-NZ"/>
              </w:rPr>
            </w:pPr>
            <w:r w:rsidRPr="00E20A71"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en-NZ"/>
              </w:rPr>
              <w:t>Gantry Operating Procedure</w:t>
            </w:r>
          </w:p>
        </w:tc>
      </w:tr>
      <w:tr w:rsidR="0088618B" w:rsidRPr="0088618B" w14:paraId="34B0AC79" w14:textId="77777777" w:rsidTr="00EC19F5">
        <w:trPr>
          <w:trHeight w:val="64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7340" w14:textId="77777777" w:rsidR="008633C8" w:rsidRDefault="008633C8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481E3E28" w14:textId="77777777" w:rsidR="0088618B" w:rsidRPr="0088618B" w:rsidRDefault="0088618B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color w:val="000000"/>
                <w:lang w:eastAsia="en-NZ"/>
              </w:rPr>
              <w:t>1: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718D" w14:textId="77777777" w:rsidR="008633C8" w:rsidRDefault="008633C8" w:rsidP="007D3286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  <w:p w14:paraId="75681313" w14:textId="77777777" w:rsidR="0088618B" w:rsidRPr="0088618B" w:rsidRDefault="0088618B" w:rsidP="007D3286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Before using Northport Gantries all Drivers must be fully </w:t>
            </w:r>
            <w:r w:rsidR="007D3286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trained and competent with using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this operating procedure.  </w:t>
            </w:r>
          </w:p>
        </w:tc>
      </w:tr>
      <w:tr w:rsidR="0088618B" w:rsidRPr="0088618B" w14:paraId="1C2368E5" w14:textId="77777777" w:rsidTr="00EC19F5">
        <w:trPr>
          <w:trHeight w:val="64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7F70" w14:textId="77777777" w:rsidR="0088618B" w:rsidRPr="0088618B" w:rsidRDefault="0088618B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color w:val="000000"/>
                <w:lang w:eastAsia="en-NZ"/>
              </w:rPr>
              <w:t>2: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D197" w14:textId="77777777" w:rsidR="0088618B" w:rsidRPr="0088618B" w:rsidRDefault="0088618B" w:rsidP="007D3286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Personal Protective Equipment must be </w:t>
            </w:r>
            <w:proofErr w:type="gramStart"/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worn at all times</w:t>
            </w:r>
            <w:proofErr w:type="gramEnd"/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. Hi-visibility clothing, safety boots and safety helmet </w:t>
            </w:r>
            <w:r w:rsidR="00B94A62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are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mandatory</w:t>
            </w:r>
            <w:r w:rsidR="0079286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PPE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.  Gloves </w:t>
            </w:r>
            <w:r w:rsidR="000F43C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and safety glasses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to be considered by </w:t>
            </w:r>
            <w:r w:rsidR="000F43C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the operator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.</w:t>
            </w:r>
          </w:p>
        </w:tc>
      </w:tr>
      <w:tr w:rsidR="0088618B" w:rsidRPr="0088618B" w14:paraId="105C5553" w14:textId="77777777" w:rsidTr="00EC19F5">
        <w:trPr>
          <w:trHeight w:val="64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E745" w14:textId="77777777" w:rsidR="0088618B" w:rsidRPr="0088618B" w:rsidRDefault="0088618B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color w:val="000000"/>
                <w:lang w:eastAsia="en-NZ"/>
              </w:rPr>
              <w:t>3: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FFE2" w14:textId="77777777" w:rsidR="0088618B" w:rsidRPr="0088618B" w:rsidRDefault="0088618B" w:rsidP="0079286D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Drivers must inspect all lifting equipment before lifting takes place.  (</w:t>
            </w:r>
            <w:r w:rsidR="0079286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Perform inspection of c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hains, </w:t>
            </w:r>
            <w:r w:rsidR="0079286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lifting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rings, a</w:t>
            </w:r>
            <w:r w:rsidR="000F43C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nchor points and gantry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wires, etc.)</w:t>
            </w:r>
            <w:r w:rsidR="00BF4437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. </w:t>
            </w:r>
          </w:p>
        </w:tc>
      </w:tr>
      <w:tr w:rsidR="00A539A3" w:rsidRPr="0088618B" w14:paraId="184ECB1A" w14:textId="77777777" w:rsidTr="00EC19F5">
        <w:trPr>
          <w:trHeight w:val="64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0AEC" w14:textId="77777777" w:rsidR="00A539A3" w:rsidRPr="0088618B" w:rsidRDefault="004C03CF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4: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9DB4D" w14:textId="77777777" w:rsidR="00A539A3" w:rsidRPr="0088618B" w:rsidRDefault="00A539A3" w:rsidP="007D3286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If someone is helping you, communicate clearly and agree actions before operating.</w:t>
            </w:r>
          </w:p>
        </w:tc>
      </w:tr>
      <w:tr w:rsidR="00A539A3" w:rsidRPr="0088618B" w14:paraId="0ADC6E33" w14:textId="77777777" w:rsidTr="00EC19F5">
        <w:trPr>
          <w:trHeight w:val="44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6BC7" w14:textId="77777777" w:rsidR="00A539A3" w:rsidRPr="0088618B" w:rsidRDefault="004C03CF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5: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D8823" w14:textId="77777777" w:rsidR="007D3286" w:rsidRPr="0088618B" w:rsidRDefault="00BF4437" w:rsidP="00BF4437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Never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operate the gantry with anyone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under or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on the other side of your trailer.  Moving under a suspended trailer is </w:t>
            </w:r>
            <w:proofErr w:type="gramStart"/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prohibited at all times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and the operator is responsible for kn</w:t>
            </w:r>
            <w:r w:rsidR="0079286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owing the whereabouts of any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person</w:t>
            </w:r>
            <w:r w:rsidR="0079286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assisting.</w:t>
            </w:r>
          </w:p>
        </w:tc>
      </w:tr>
      <w:tr w:rsidR="00A539A3" w:rsidRPr="0088618B" w14:paraId="45EBECB2" w14:textId="77777777" w:rsidTr="00EC19F5">
        <w:trPr>
          <w:trHeight w:val="44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58F1" w14:textId="77777777" w:rsidR="00A539A3" w:rsidRPr="0088618B" w:rsidRDefault="004C03CF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6: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CFB27" w14:textId="77777777" w:rsidR="00A539A3" w:rsidRPr="0088618B" w:rsidRDefault="00A539A3" w:rsidP="007D3286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Trailer lifting ring must be under hook before lifting.  If too far forward a siren will sound disabling the raise function.  In this case, lower and reposition your trailer.</w:t>
            </w:r>
          </w:p>
        </w:tc>
      </w:tr>
      <w:tr w:rsidR="00A539A3" w:rsidRPr="0088618B" w14:paraId="0AB91046" w14:textId="77777777" w:rsidTr="00EC19F5">
        <w:trPr>
          <w:trHeight w:val="44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473A" w14:textId="77777777" w:rsidR="00A539A3" w:rsidRPr="0088618B" w:rsidRDefault="004C03CF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7: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D3862" w14:textId="77777777" w:rsidR="00A539A3" w:rsidRPr="0088618B" w:rsidRDefault="0079286D" w:rsidP="0079286D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Swipe Dallas T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ag to start.  LEDs on electrical control box show if system is active or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mergency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stop has been activated.</w:t>
            </w:r>
          </w:p>
        </w:tc>
      </w:tr>
      <w:tr w:rsidR="00A539A3" w:rsidRPr="0088618B" w14:paraId="255CB9B0" w14:textId="77777777" w:rsidTr="00EC19F5">
        <w:trPr>
          <w:trHeight w:val="44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0CE4" w14:textId="77777777" w:rsidR="00A539A3" w:rsidRPr="0088618B" w:rsidRDefault="004C03CF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8: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58142" w14:textId="77777777" w:rsidR="007D3286" w:rsidRPr="0088618B" w:rsidRDefault="0079286D" w:rsidP="0079286D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Stand clear when lifting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the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trailer.  Be aware that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the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trailer could swing.</w:t>
            </w:r>
          </w:p>
        </w:tc>
      </w:tr>
      <w:tr w:rsidR="00A539A3" w:rsidRPr="0088618B" w14:paraId="1F039D4D" w14:textId="77777777" w:rsidTr="00EC19F5">
        <w:trPr>
          <w:trHeight w:val="44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6050" w14:textId="77777777" w:rsidR="00A539A3" w:rsidRPr="0088618B" w:rsidRDefault="004C03CF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9: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D2ED" w14:textId="77777777" w:rsidR="00A539A3" w:rsidRPr="0088618B" w:rsidRDefault="0079286D" w:rsidP="007D3286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When turning drawbar, trailers must be as close as possible to the ground.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The drawbar is to be pushed and the operator must never position themselves between the drawbar and the trailer or gantry frame.</w:t>
            </w:r>
          </w:p>
        </w:tc>
      </w:tr>
      <w:tr w:rsidR="00A539A3" w:rsidRPr="0088618B" w14:paraId="22EE867F" w14:textId="77777777" w:rsidTr="00EC19F5">
        <w:trPr>
          <w:trHeight w:val="44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4639" w14:textId="77777777" w:rsidR="00A539A3" w:rsidRPr="0088618B" w:rsidRDefault="004C03CF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  <w:r w:rsidR="00A539A3" w:rsidRPr="0088618B">
              <w:rPr>
                <w:rFonts w:ascii="Calibri" w:eastAsia="Times New Roman" w:hAnsi="Calibri" w:cs="Times New Roman"/>
                <w:color w:val="000000"/>
                <w:lang w:eastAsia="en-NZ"/>
              </w:rPr>
              <w:t>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0DBD7" w14:textId="77777777" w:rsidR="00A539A3" w:rsidRPr="0088618B" w:rsidRDefault="00A539A3" w:rsidP="007D3286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When unhooking trailer take appropriate care when climbing onto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the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truck.</w:t>
            </w:r>
          </w:p>
        </w:tc>
      </w:tr>
      <w:tr w:rsidR="00A539A3" w:rsidRPr="0088618B" w14:paraId="65CED8C0" w14:textId="77777777" w:rsidTr="00EC19F5">
        <w:trPr>
          <w:trHeight w:val="44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A833D" w14:textId="77777777" w:rsidR="00A539A3" w:rsidRPr="0088618B" w:rsidRDefault="00A539A3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 w:rsidR="004C03CF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917B" w14:textId="77777777" w:rsidR="00A539A3" w:rsidRPr="0088618B" w:rsidRDefault="00A539A3" w:rsidP="007D3286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Please raise hook fully and remove all bark from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the 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trailer before leaving area.</w:t>
            </w:r>
          </w:p>
        </w:tc>
      </w:tr>
      <w:tr w:rsidR="00A539A3" w:rsidRPr="0088618B" w14:paraId="3602695B" w14:textId="77777777" w:rsidTr="00EC19F5">
        <w:trPr>
          <w:trHeight w:val="61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E1903" w14:textId="77777777" w:rsidR="00A539A3" w:rsidRPr="0088618B" w:rsidRDefault="004C03CF" w:rsidP="007D328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12</w:t>
            </w:r>
            <w:r w:rsidR="00A539A3">
              <w:rPr>
                <w:rFonts w:ascii="Calibri" w:eastAsia="Times New Roman" w:hAnsi="Calibri" w:cs="Times New Roman"/>
                <w:color w:val="000000"/>
                <w:lang w:eastAsia="en-NZ"/>
              </w:rPr>
              <w:t>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26B11" w14:textId="77777777" w:rsidR="008633C8" w:rsidRPr="0088618B" w:rsidRDefault="00A539A3" w:rsidP="008633C8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Any damage or incident must be reported to 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Port Service Centre</w:t>
            </w:r>
            <w:r w:rsidRPr="0088618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immediately.</w:t>
            </w:r>
            <w:r w:rsidR="0079286D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</w:p>
        </w:tc>
      </w:tr>
      <w:tr w:rsidR="008633C8" w:rsidRPr="0088618B" w14:paraId="7C03A704" w14:textId="77777777" w:rsidTr="00EC19F5">
        <w:trPr>
          <w:trHeight w:val="61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09D68" w14:textId="77777777" w:rsidR="008633C8" w:rsidRPr="008633C8" w:rsidRDefault="00EC19F5" w:rsidP="00EC19F5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NZ"/>
              </w:rPr>
              <w:t>Note: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34DFC" w14:textId="77777777" w:rsidR="008633C8" w:rsidRPr="008633C8" w:rsidRDefault="008633C8" w:rsidP="00616529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</w:pPr>
            <w:r w:rsidRPr="008633C8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 xml:space="preserve">It is strictly forbidden to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 xml:space="preserve">alter the gantry hardware </w:t>
            </w:r>
            <w:r w:rsidR="00EC19F5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>(</w:t>
            </w:r>
            <w:r w:rsidR="001851B0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>e</w:t>
            </w:r>
            <w:r w:rsidR="00EC19F5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>.</w:t>
            </w:r>
            <w:r w:rsidR="001851B0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>g</w:t>
            </w:r>
            <w:r w:rsidR="00EC19F5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>.</w:t>
            </w:r>
            <w:r w:rsidR="001851B0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>:</w:t>
            </w:r>
            <w:r w:rsidR="00EC19F5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 xml:space="preserve"> hooks)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 xml:space="preserve">in any way. </w:t>
            </w:r>
            <w:r w:rsidR="00EC19F5">
              <w:rPr>
                <w:rFonts w:ascii="Calibri" w:eastAsia="Times New Roman" w:hAnsi="Calibri" w:cs="Times New Roman"/>
                <w:bCs/>
                <w:color w:val="FF0000"/>
                <w:lang w:eastAsia="en-NZ"/>
              </w:rPr>
              <w:t xml:space="preserve">The gantries are under </w:t>
            </w:r>
            <w:r w:rsidRPr="008633C8">
              <w:rPr>
                <w:rFonts w:ascii="Calibri" w:eastAsia="Times New Roman" w:hAnsi="Calibri" w:cs="Times New Roman"/>
                <w:bCs/>
                <w:color w:val="FF0000"/>
                <w:lang w:eastAsia="en-NZ"/>
              </w:rPr>
              <w:t xml:space="preserve">video surveillance and </w:t>
            </w:r>
            <w:r>
              <w:rPr>
                <w:rFonts w:ascii="Calibri" w:eastAsia="Times New Roman" w:hAnsi="Calibri" w:cs="Times New Roman"/>
                <w:bCs/>
                <w:color w:val="FF0000"/>
                <w:lang w:eastAsia="en-NZ"/>
              </w:rPr>
              <w:t>breaches</w:t>
            </w:r>
            <w:r w:rsidRPr="008633C8">
              <w:rPr>
                <w:rFonts w:ascii="Calibri" w:eastAsia="Times New Roman" w:hAnsi="Calibri" w:cs="Times New Roman"/>
                <w:bCs/>
                <w:color w:val="FF0000"/>
                <w:lang w:eastAsia="en-NZ"/>
              </w:rPr>
              <w:t xml:space="preserve"> </w:t>
            </w:r>
            <w:r w:rsidR="00616529">
              <w:rPr>
                <w:rFonts w:ascii="Calibri" w:eastAsia="Times New Roman" w:hAnsi="Calibri" w:cs="Times New Roman"/>
                <w:bCs/>
                <w:color w:val="FF0000"/>
                <w:lang w:eastAsia="en-NZ"/>
              </w:rPr>
              <w:t>may</w:t>
            </w:r>
            <w:r w:rsidRPr="008633C8">
              <w:rPr>
                <w:rFonts w:ascii="Calibri" w:eastAsia="Times New Roman" w:hAnsi="Calibri" w:cs="Times New Roman"/>
                <w:bCs/>
                <w:color w:val="FF0000"/>
                <w:lang w:eastAsia="en-NZ"/>
              </w:rPr>
              <w:t xml:space="preserve"> result</w:t>
            </w:r>
            <w:r w:rsidR="00EC19F5">
              <w:rPr>
                <w:rFonts w:ascii="Calibri" w:eastAsia="Times New Roman" w:hAnsi="Calibri" w:cs="Times New Roman"/>
                <w:bCs/>
                <w:color w:val="FF0000"/>
                <w:lang w:eastAsia="en-NZ"/>
              </w:rPr>
              <w:t xml:space="preserve"> in exclusion</w:t>
            </w:r>
            <w:r>
              <w:rPr>
                <w:rFonts w:ascii="Calibri" w:eastAsia="Times New Roman" w:hAnsi="Calibri" w:cs="Times New Roman"/>
                <w:bCs/>
                <w:color w:val="FF0000"/>
                <w:lang w:eastAsia="en-NZ"/>
              </w:rPr>
              <w:t>.</w:t>
            </w:r>
          </w:p>
        </w:tc>
      </w:tr>
      <w:tr w:rsidR="00A539A3" w:rsidRPr="0088618B" w14:paraId="1E998B55" w14:textId="77777777" w:rsidTr="00EC19F5">
        <w:trPr>
          <w:trHeight w:val="614"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B48ED" w14:textId="77777777" w:rsidR="007D3286" w:rsidRPr="007D3286" w:rsidRDefault="007D3286" w:rsidP="007D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"/>
                <w:szCs w:val="2"/>
                <w:u w:val="single"/>
                <w:lang w:eastAsia="en-NZ"/>
              </w:rPr>
            </w:pPr>
          </w:p>
        </w:tc>
      </w:tr>
      <w:tr w:rsidR="00A539A3" w:rsidRPr="0088618B" w14:paraId="561EAE70" w14:textId="77777777" w:rsidTr="00EC19F5">
        <w:trPr>
          <w:trHeight w:val="537"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0383108D" w14:textId="77777777" w:rsidR="00A539A3" w:rsidRPr="00A539A3" w:rsidRDefault="00A539A3" w:rsidP="0038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9"/>
                <w:szCs w:val="29"/>
                <w:lang w:eastAsia="en-NZ"/>
              </w:rPr>
            </w:pPr>
            <w:r w:rsidRPr="00A539A3">
              <w:rPr>
                <w:rFonts w:ascii="Calibri" w:eastAsia="Times New Roman" w:hAnsi="Calibri" w:cs="Times New Roman"/>
                <w:b/>
                <w:bCs/>
                <w:color w:val="FFFFFF"/>
                <w:sz w:val="29"/>
                <w:szCs w:val="29"/>
                <w:lang w:eastAsia="en-NZ"/>
              </w:rPr>
              <w:t>If in doubt, stop and contact Port Service</w:t>
            </w:r>
            <w:r w:rsidR="00616529">
              <w:rPr>
                <w:rFonts w:ascii="Calibri" w:eastAsia="Times New Roman" w:hAnsi="Calibri" w:cs="Times New Roman"/>
                <w:b/>
                <w:bCs/>
                <w:color w:val="FFFFFF"/>
                <w:sz w:val="29"/>
                <w:szCs w:val="29"/>
                <w:lang w:eastAsia="en-NZ"/>
              </w:rPr>
              <w:t>s</w:t>
            </w:r>
            <w:r w:rsidRPr="00A539A3">
              <w:rPr>
                <w:rFonts w:ascii="Calibri" w:eastAsia="Times New Roman" w:hAnsi="Calibri" w:cs="Times New Roman"/>
                <w:b/>
                <w:bCs/>
                <w:color w:val="FFFFFF"/>
                <w:sz w:val="29"/>
                <w:szCs w:val="29"/>
                <w:lang w:eastAsia="en-NZ"/>
              </w:rPr>
              <w:t xml:space="preserve"> on 09 432 5018.</w:t>
            </w:r>
          </w:p>
        </w:tc>
      </w:tr>
    </w:tbl>
    <w:p w14:paraId="7216E7E2" w14:textId="77777777" w:rsidR="00BF7223" w:rsidRDefault="00BF7223" w:rsidP="000A49BA">
      <w:pPr>
        <w:jc w:val="center"/>
        <w:rPr>
          <w:b/>
          <w:sz w:val="24"/>
          <w:szCs w:val="24"/>
          <w:u w:val="single"/>
        </w:rPr>
      </w:pPr>
    </w:p>
    <w:p w14:paraId="73CACA33" w14:textId="77777777" w:rsidR="00C56F75" w:rsidRDefault="00C56F75" w:rsidP="000A49BA">
      <w:pPr>
        <w:jc w:val="center"/>
        <w:rPr>
          <w:b/>
          <w:sz w:val="24"/>
          <w:szCs w:val="24"/>
          <w:u w:val="single"/>
        </w:rPr>
      </w:pPr>
    </w:p>
    <w:p w14:paraId="45BC0588" w14:textId="77777777" w:rsidR="0062404B" w:rsidRPr="000A49BA" w:rsidRDefault="0062404B" w:rsidP="000A49BA">
      <w:pPr>
        <w:jc w:val="center"/>
        <w:rPr>
          <w:b/>
          <w:sz w:val="24"/>
          <w:szCs w:val="24"/>
          <w:u w:val="single"/>
        </w:rPr>
      </w:pPr>
      <w:r w:rsidRPr="00BD4F36">
        <w:rPr>
          <w:b/>
          <w:sz w:val="24"/>
          <w:szCs w:val="24"/>
          <w:u w:val="single"/>
        </w:rPr>
        <w:t xml:space="preserve">Appendix </w:t>
      </w:r>
      <w:r w:rsidR="000A49BA">
        <w:rPr>
          <w:b/>
          <w:sz w:val="24"/>
          <w:szCs w:val="24"/>
          <w:u w:val="single"/>
        </w:rPr>
        <w:t>2</w:t>
      </w:r>
      <w:r w:rsidRPr="00BD4F36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Inspection Register – </w:t>
      </w:r>
      <w:r w:rsidR="00A954A9">
        <w:rPr>
          <w:b/>
          <w:sz w:val="24"/>
          <w:szCs w:val="24"/>
          <w:u w:val="single"/>
        </w:rPr>
        <w:t>Memo to Northport</w:t>
      </w:r>
    </w:p>
    <w:p w14:paraId="592D07C0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val="en-AU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NZ"/>
        </w:rPr>
        <w:drawing>
          <wp:inline distT="0" distB="0" distL="0" distR="0" wp14:anchorId="5BAF7F9E" wp14:editId="76BFB925">
            <wp:extent cx="1180532" cy="487012"/>
            <wp:effectExtent l="0" t="0" r="635" b="8890"/>
            <wp:docPr id="1" name="Picture 1" descr="North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82" cy="4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F2652" w14:textId="77777777" w:rsidR="0062404B" w:rsidRPr="009A36BE" w:rsidRDefault="0062404B" w:rsidP="0062404B">
      <w:pPr>
        <w:keepNext/>
        <w:tabs>
          <w:tab w:val="left" w:pos="851"/>
          <w:tab w:val="left" w:pos="1701"/>
          <w:tab w:val="left" w:pos="2552"/>
          <w:tab w:val="left" w:pos="3402"/>
          <w:tab w:val="right" w:pos="7938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9A36BE">
        <w:rPr>
          <w:rFonts w:ascii="Arial" w:eastAsia="Times New Roman" w:hAnsi="Arial" w:cs="Times New Roman"/>
          <w:b/>
          <w:sz w:val="32"/>
          <w:szCs w:val="32"/>
          <w:u w:val="single"/>
        </w:rPr>
        <w:t>Memorandum</w:t>
      </w:r>
    </w:p>
    <w:p w14:paraId="21BDDBE7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AU"/>
        </w:rPr>
      </w:pPr>
    </w:p>
    <w:p w14:paraId="0BA9E4AB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2404B" w:rsidRPr="0062404B" w14:paraId="330A6122" w14:textId="77777777" w:rsidTr="001109F5">
        <w:tc>
          <w:tcPr>
            <w:tcW w:w="1809" w:type="dxa"/>
          </w:tcPr>
          <w:p w14:paraId="0FB62CFF" w14:textId="77777777" w:rsidR="0062404B" w:rsidRPr="0062404B" w:rsidRDefault="0062404B" w:rsidP="0062404B">
            <w:pPr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62404B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TO:</w:t>
            </w:r>
          </w:p>
        </w:tc>
        <w:tc>
          <w:tcPr>
            <w:tcW w:w="7477" w:type="dxa"/>
          </w:tcPr>
          <w:p w14:paraId="5AE8E0F1" w14:textId="77777777" w:rsidR="0062404B" w:rsidRPr="0062404B" w:rsidRDefault="0062404B" w:rsidP="00FA1961">
            <w:pPr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62404B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Northport Ltd</w:t>
            </w:r>
          </w:p>
        </w:tc>
      </w:tr>
      <w:tr w:rsidR="0062404B" w:rsidRPr="0062404B" w14:paraId="4DD3CAEA" w14:textId="77777777" w:rsidTr="001109F5">
        <w:tc>
          <w:tcPr>
            <w:tcW w:w="1809" w:type="dxa"/>
          </w:tcPr>
          <w:p w14:paraId="303D1830" w14:textId="77777777" w:rsidR="0062404B" w:rsidRPr="0062404B" w:rsidRDefault="0062404B" w:rsidP="0062404B">
            <w:pPr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7477" w:type="dxa"/>
          </w:tcPr>
          <w:p w14:paraId="32D5C42D" w14:textId="77777777" w:rsidR="0062404B" w:rsidRPr="0062404B" w:rsidRDefault="0062404B" w:rsidP="0062404B">
            <w:pPr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</w:p>
        </w:tc>
      </w:tr>
      <w:tr w:rsidR="0062404B" w:rsidRPr="0062404B" w14:paraId="0EB7049E" w14:textId="77777777" w:rsidTr="001109F5">
        <w:tc>
          <w:tcPr>
            <w:tcW w:w="1809" w:type="dxa"/>
          </w:tcPr>
          <w:p w14:paraId="511C414F" w14:textId="77777777" w:rsidR="0062404B" w:rsidRPr="0062404B" w:rsidRDefault="0062404B" w:rsidP="0062404B">
            <w:pPr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62404B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SUBJECT:</w:t>
            </w:r>
          </w:p>
        </w:tc>
        <w:tc>
          <w:tcPr>
            <w:tcW w:w="7477" w:type="dxa"/>
          </w:tcPr>
          <w:p w14:paraId="4402466C" w14:textId="77777777" w:rsidR="0062404B" w:rsidRPr="0062404B" w:rsidRDefault="00BF1666" w:rsidP="0062404B">
            <w:pPr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Gantry Compliance</w:t>
            </w:r>
          </w:p>
          <w:p w14:paraId="26546518" w14:textId="77777777" w:rsidR="0062404B" w:rsidRPr="0062404B" w:rsidRDefault="0062404B" w:rsidP="0062404B">
            <w:pPr>
              <w:tabs>
                <w:tab w:val="left" w:pos="851"/>
                <w:tab w:val="left" w:pos="1701"/>
                <w:tab w:val="left" w:pos="2552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</w:p>
        </w:tc>
      </w:tr>
    </w:tbl>
    <w:p w14:paraId="1E38CC09" w14:textId="77777777" w:rsidR="0062404B" w:rsidRPr="0062404B" w:rsidRDefault="0062404B" w:rsidP="0062404B">
      <w:pPr>
        <w:pBdr>
          <w:bottom w:val="single" w:sz="12" w:space="1" w:color="auto"/>
        </w:pBd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AU"/>
        </w:rPr>
      </w:pPr>
    </w:p>
    <w:p w14:paraId="03F83650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AU"/>
        </w:rPr>
      </w:pPr>
    </w:p>
    <w:p w14:paraId="644841A6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62404B">
        <w:rPr>
          <w:rFonts w:ascii="Arial" w:eastAsia="Times New Roman" w:hAnsi="Arial" w:cs="Times New Roman"/>
          <w:sz w:val="24"/>
          <w:szCs w:val="20"/>
        </w:rPr>
        <w:t>This memo confirms that we have read and understood the information provided by Northport and attach our trailer inspection register.</w:t>
      </w:r>
    </w:p>
    <w:p w14:paraId="430B6C0D" w14:textId="77777777" w:rsid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83CF408" w14:textId="77777777" w:rsidR="00006130" w:rsidRPr="0062404B" w:rsidRDefault="00006130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56AB16B" w14:textId="77777777" w:rsidR="0062404B" w:rsidRPr="0062404B" w:rsidRDefault="00006130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Company </w:t>
      </w:r>
      <w:proofErr w:type="gramStart"/>
      <w:r w:rsidR="00150E40">
        <w:rPr>
          <w:rFonts w:ascii="Arial" w:eastAsia="Times New Roman" w:hAnsi="Arial" w:cs="Times New Roman"/>
          <w:sz w:val="24"/>
          <w:szCs w:val="20"/>
        </w:rPr>
        <w:t>N</w:t>
      </w:r>
      <w:r>
        <w:rPr>
          <w:rFonts w:ascii="Arial" w:eastAsia="Times New Roman" w:hAnsi="Arial" w:cs="Times New Roman"/>
          <w:sz w:val="24"/>
          <w:szCs w:val="20"/>
        </w:rPr>
        <w:t>ame:_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>________________________________________</w:t>
      </w:r>
    </w:p>
    <w:p w14:paraId="29253FE5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15110EDC" w14:textId="77777777" w:rsidR="00006130" w:rsidRDefault="00006130" w:rsidP="00006130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A73B928" w14:textId="77777777" w:rsidR="0062404B" w:rsidRPr="0062404B" w:rsidRDefault="00006130" w:rsidP="00006130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Competent </w:t>
      </w:r>
      <w:proofErr w:type="gramStart"/>
      <w:r w:rsidR="00150E40">
        <w:rPr>
          <w:rFonts w:ascii="Arial" w:eastAsia="Times New Roman" w:hAnsi="Arial" w:cs="Times New Roman"/>
          <w:sz w:val="24"/>
          <w:szCs w:val="20"/>
        </w:rPr>
        <w:t>P</w:t>
      </w:r>
      <w:r>
        <w:rPr>
          <w:rFonts w:ascii="Arial" w:eastAsia="Times New Roman" w:hAnsi="Arial" w:cs="Times New Roman"/>
          <w:sz w:val="24"/>
          <w:szCs w:val="20"/>
        </w:rPr>
        <w:t>erson</w:t>
      </w:r>
      <w:r w:rsidR="0062404B" w:rsidRPr="0062404B">
        <w:rPr>
          <w:rFonts w:ascii="Arial" w:eastAsia="Times New Roman" w:hAnsi="Arial" w:cs="Times New Roman"/>
          <w:sz w:val="24"/>
          <w:szCs w:val="20"/>
        </w:rPr>
        <w:t>:</w:t>
      </w:r>
      <w:r>
        <w:rPr>
          <w:rFonts w:ascii="Arial" w:eastAsia="Times New Roman" w:hAnsi="Arial" w:cs="Times New Roman"/>
          <w:sz w:val="24"/>
          <w:szCs w:val="20"/>
        </w:rPr>
        <w:t>_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>______________________________________</w:t>
      </w:r>
      <w:r w:rsidR="0062404B" w:rsidRPr="0062404B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549305F4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75833FD" w14:textId="77777777" w:rsidR="00006130" w:rsidRDefault="00006130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DCF3C49" w14:textId="77777777" w:rsidR="0062404B" w:rsidRPr="0062404B" w:rsidRDefault="00006130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Company 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Representative:</w:t>
      </w:r>
      <w:r w:rsidR="0062404B" w:rsidRPr="0062404B">
        <w:rPr>
          <w:rFonts w:ascii="Arial" w:eastAsia="Times New Roman" w:hAnsi="Arial" w:cs="Times New Roman"/>
          <w:sz w:val="24"/>
          <w:szCs w:val="20"/>
        </w:rPr>
        <w:t>_</w:t>
      </w:r>
      <w:proofErr w:type="gramEnd"/>
      <w:r w:rsidR="0062404B" w:rsidRPr="0062404B">
        <w:rPr>
          <w:rFonts w:ascii="Arial" w:eastAsia="Times New Roman" w:hAnsi="Arial" w:cs="Times New Roman"/>
          <w:sz w:val="24"/>
          <w:szCs w:val="20"/>
        </w:rPr>
        <w:t>_______________________________</w:t>
      </w:r>
      <w:r>
        <w:rPr>
          <w:rFonts w:ascii="Arial" w:eastAsia="Times New Roman" w:hAnsi="Arial" w:cs="Times New Roman"/>
          <w:sz w:val="24"/>
          <w:szCs w:val="20"/>
        </w:rPr>
        <w:t>_</w:t>
      </w:r>
    </w:p>
    <w:p w14:paraId="1248B263" w14:textId="77777777" w:rsidR="0062404B" w:rsidRPr="0062404B" w:rsidRDefault="0062404B" w:rsidP="00006130">
      <w:pPr>
        <w:tabs>
          <w:tab w:val="left" w:pos="851"/>
          <w:tab w:val="left" w:pos="1701"/>
          <w:tab w:val="left" w:pos="2552"/>
          <w:tab w:val="left" w:pos="7371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9F028CE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D5A1A16" w14:textId="77777777" w:rsidR="00006130" w:rsidRDefault="0062404B" w:rsidP="00006130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62404B">
        <w:rPr>
          <w:rFonts w:ascii="Arial" w:eastAsia="Times New Roman" w:hAnsi="Arial" w:cs="Times New Roman"/>
          <w:sz w:val="24"/>
          <w:szCs w:val="20"/>
        </w:rPr>
        <w:t>Signature: _____________________________________________</w:t>
      </w:r>
    </w:p>
    <w:p w14:paraId="64A7A11F" w14:textId="77777777" w:rsidR="00006130" w:rsidRDefault="00006130" w:rsidP="00006130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DDD0805" w14:textId="77777777" w:rsidR="00006130" w:rsidRDefault="00006130" w:rsidP="00006130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3894E8D" w14:textId="77777777" w:rsidR="00006130" w:rsidRPr="0062404B" w:rsidRDefault="00006130" w:rsidP="00006130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62404B">
        <w:rPr>
          <w:rFonts w:ascii="Arial" w:eastAsia="Times New Roman" w:hAnsi="Arial" w:cs="Times New Roman"/>
          <w:sz w:val="24"/>
          <w:szCs w:val="20"/>
        </w:rPr>
        <w:t>Date: ________________________________________________</w:t>
      </w:r>
      <w:r>
        <w:rPr>
          <w:rFonts w:ascii="Arial" w:eastAsia="Times New Roman" w:hAnsi="Arial" w:cs="Times New Roman"/>
          <w:sz w:val="24"/>
          <w:szCs w:val="20"/>
        </w:rPr>
        <w:t>_</w:t>
      </w:r>
    </w:p>
    <w:p w14:paraId="759773E6" w14:textId="77777777" w:rsidR="00006130" w:rsidRPr="0062404B" w:rsidRDefault="00006130" w:rsidP="00006130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E464859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95259AB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746DF11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4E88963" w14:textId="77777777" w:rsidR="0062404B" w:rsidRPr="0062404B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7EB5843" w14:textId="77777777" w:rsidR="0062404B" w:rsidRPr="00BE4535" w:rsidRDefault="0062404B" w:rsidP="0062404B">
      <w:pPr>
        <w:tabs>
          <w:tab w:val="left" w:pos="851"/>
          <w:tab w:val="left" w:pos="1701"/>
          <w:tab w:val="left" w:pos="255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BE4535">
        <w:rPr>
          <w:rFonts w:ascii="Arial" w:eastAsia="Times New Roman" w:hAnsi="Arial" w:cs="Times New Roman"/>
          <w:sz w:val="24"/>
          <w:szCs w:val="20"/>
        </w:rPr>
        <w:t xml:space="preserve">Please complete the above and scan/email back to </w:t>
      </w:r>
      <w:hyperlink r:id="rId12" w:history="1">
        <w:r w:rsidR="00616529" w:rsidRPr="005B41B7">
          <w:rPr>
            <w:rStyle w:val="Hyperlink"/>
            <w:rFonts w:ascii="Arial" w:eastAsia="Times New Roman" w:hAnsi="Arial" w:cs="Times New Roman"/>
            <w:sz w:val="24"/>
            <w:szCs w:val="20"/>
          </w:rPr>
          <w:t>hse@northport.co.nz</w:t>
        </w:r>
      </w:hyperlink>
      <w:r w:rsidR="00616529">
        <w:rPr>
          <w:rFonts w:ascii="Arial" w:eastAsia="Times New Roman" w:hAnsi="Arial" w:cs="Times New Roman"/>
          <w:sz w:val="24"/>
          <w:szCs w:val="20"/>
        </w:rPr>
        <w:t xml:space="preserve"> </w:t>
      </w:r>
      <w:r w:rsidR="00FB074C" w:rsidRPr="00BE4535">
        <w:rPr>
          <w:rFonts w:ascii="Arial" w:eastAsia="Times New Roman" w:hAnsi="Arial" w:cs="Times New Roman"/>
          <w:sz w:val="24"/>
          <w:szCs w:val="20"/>
        </w:rPr>
        <w:t>with “Gantry Compliance” in the subject heading.</w:t>
      </w:r>
    </w:p>
    <w:p w14:paraId="6AA5A5C7" w14:textId="77777777" w:rsidR="00960F47" w:rsidRDefault="00960F47" w:rsidP="007B5C85">
      <w:pPr>
        <w:rPr>
          <w:b/>
        </w:rPr>
      </w:pPr>
    </w:p>
    <w:p w14:paraId="6FD5C045" w14:textId="77777777" w:rsidR="00616529" w:rsidRDefault="00616529">
      <w:pPr>
        <w:rPr>
          <w:b/>
        </w:rPr>
      </w:pPr>
      <w:r>
        <w:rPr>
          <w:b/>
        </w:rPr>
        <w:br w:type="page"/>
      </w:r>
    </w:p>
    <w:p w14:paraId="763E165E" w14:textId="77777777" w:rsidR="00F67006" w:rsidRDefault="00F67006" w:rsidP="00E22CE9">
      <w:pPr>
        <w:jc w:val="center"/>
        <w:rPr>
          <w:b/>
          <w:sz w:val="28"/>
          <w:szCs w:val="28"/>
        </w:rPr>
      </w:pPr>
    </w:p>
    <w:p w14:paraId="46ED055D" w14:textId="77777777" w:rsidR="002E50D4" w:rsidRDefault="002E50D4" w:rsidP="0043374A">
      <w:pPr>
        <w:jc w:val="center"/>
        <w:rPr>
          <w:b/>
          <w:sz w:val="28"/>
          <w:szCs w:val="28"/>
        </w:rPr>
      </w:pPr>
      <w:r w:rsidRPr="00BD4F36">
        <w:rPr>
          <w:b/>
          <w:sz w:val="24"/>
          <w:szCs w:val="24"/>
          <w:u w:val="single"/>
        </w:rPr>
        <w:t xml:space="preserve">Appendix </w:t>
      </w:r>
      <w:r>
        <w:rPr>
          <w:b/>
          <w:sz w:val="24"/>
          <w:szCs w:val="24"/>
          <w:u w:val="single"/>
        </w:rPr>
        <w:t>3</w:t>
      </w:r>
      <w:r w:rsidRPr="00BD4F36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Trailer Inspection Register</w:t>
      </w:r>
    </w:p>
    <w:tbl>
      <w:tblPr>
        <w:tblW w:w="8883" w:type="dxa"/>
        <w:tblLayout w:type="fixed"/>
        <w:tblLook w:val="04A0" w:firstRow="1" w:lastRow="0" w:firstColumn="1" w:lastColumn="0" w:noHBand="0" w:noVBand="1"/>
      </w:tblPr>
      <w:tblGrid>
        <w:gridCol w:w="940"/>
        <w:gridCol w:w="1318"/>
        <w:gridCol w:w="1276"/>
        <w:gridCol w:w="1418"/>
        <w:gridCol w:w="1417"/>
        <w:gridCol w:w="2514"/>
      </w:tblGrid>
      <w:tr w:rsidR="002E50D4" w:rsidRPr="002E50D4" w14:paraId="58261F46" w14:textId="77777777" w:rsidTr="00723E9C">
        <w:trPr>
          <w:trHeight w:val="420"/>
        </w:trPr>
        <w:tc>
          <w:tcPr>
            <w:tcW w:w="88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3AC50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en-NZ"/>
              </w:rPr>
            </w:pPr>
            <w:r w:rsidRPr="00B66B6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NZ"/>
              </w:rPr>
              <w:t>TRAILER INSPECTION REGISTER</w:t>
            </w:r>
          </w:p>
        </w:tc>
      </w:tr>
      <w:tr w:rsidR="002E50D4" w:rsidRPr="002E50D4" w14:paraId="68F63093" w14:textId="77777777" w:rsidTr="00723E9C">
        <w:trPr>
          <w:trHeight w:val="300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AB2B2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COMPANY NAME:</w:t>
            </w:r>
          </w:p>
        </w:tc>
      </w:tr>
      <w:tr w:rsidR="002E50D4" w:rsidRPr="002E50D4" w14:paraId="2475490D" w14:textId="77777777" w:rsidTr="00723E9C">
        <w:trPr>
          <w:trHeight w:val="375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27668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PHYSICAL ADDRESS:</w:t>
            </w:r>
          </w:p>
        </w:tc>
      </w:tr>
      <w:tr w:rsidR="002E50D4" w:rsidRPr="002E50D4" w14:paraId="4E16A662" w14:textId="77777777" w:rsidTr="00723E9C">
        <w:trPr>
          <w:trHeight w:val="375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04653" w14:textId="5A91B272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 xml:space="preserve">EMAIL ADDRESS:                                                   </w:t>
            </w:r>
          </w:p>
        </w:tc>
      </w:tr>
      <w:tr w:rsidR="001A0D76" w:rsidRPr="002E50D4" w14:paraId="280C7B27" w14:textId="77777777" w:rsidTr="00723E9C">
        <w:trPr>
          <w:trHeight w:val="375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07F9F2" w14:textId="0A5ADB0A" w:rsidR="001A0D76" w:rsidRPr="002E50D4" w:rsidRDefault="001A0D76" w:rsidP="002E5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PHONE NUMBER:</w:t>
            </w:r>
          </w:p>
        </w:tc>
      </w:tr>
      <w:tr w:rsidR="002E50D4" w:rsidRPr="002E50D4" w14:paraId="0D7D3A98" w14:textId="77777777" w:rsidTr="00723E9C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DB56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FLEET ID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54FF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TRUCK 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A3EA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TRAILER REGO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036D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 xml:space="preserve">INSPECTOR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4802" w14:textId="6FEAAB9A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DATE OF INSPECTION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B965A5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SIGNATURE OF INSPECTOR</w:t>
            </w: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2E50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(Driver and Equipment Compliant)</w:t>
            </w:r>
          </w:p>
        </w:tc>
      </w:tr>
      <w:tr w:rsidR="002E50D4" w:rsidRPr="002E50D4" w14:paraId="291CAC46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8FEB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4C7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7EE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83CC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6E2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D32AC4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6EF974C9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1B3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9AE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1008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91C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7B9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C21CC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2A96578F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F83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564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075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E43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713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DA095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762A90E7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436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E98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B66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D66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79F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2393D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1837C74E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F384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3B3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E37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2B2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1C7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2DD457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48AD8FBF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A991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C4A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9D8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779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2AE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9401E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5676F936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BDA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F65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6F6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7B8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B33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7702C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7E75F464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36C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B1CE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EED2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6F8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920E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0F224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073BCD93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BB4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71C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1EC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FC7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559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1A24B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7580FA8C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27F8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4F9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0EA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6C2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CCA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48A0D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3B1F669E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75D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A64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EB1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3744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E46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2A3B6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5EA4176E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8BA6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2763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D0C3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3D7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145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37674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E50D4" w:rsidRPr="002E50D4" w14:paraId="22B7573A" w14:textId="77777777" w:rsidTr="00723E9C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8EC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5FC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3DA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D0D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20CF" w14:textId="77777777" w:rsidR="002E50D4" w:rsidRPr="002E50D4" w:rsidRDefault="002E50D4" w:rsidP="002E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D6ACE" w14:textId="77777777" w:rsidR="002E50D4" w:rsidRPr="002E50D4" w:rsidRDefault="002E50D4" w:rsidP="002E5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E50D4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6E99FF3E" w14:textId="470FBE28" w:rsidR="00155A60" w:rsidRDefault="00155A60" w:rsidP="000A49BA">
      <w:pPr>
        <w:jc w:val="center"/>
        <w:rPr>
          <w:b/>
          <w:sz w:val="24"/>
          <w:szCs w:val="24"/>
          <w:u w:val="single"/>
        </w:rPr>
      </w:pPr>
    </w:p>
    <w:p w14:paraId="41FECC76" w14:textId="66F6B317" w:rsidR="00723E9C" w:rsidRDefault="00723E9C" w:rsidP="000A49BA">
      <w:pPr>
        <w:jc w:val="center"/>
        <w:rPr>
          <w:b/>
          <w:sz w:val="24"/>
          <w:szCs w:val="24"/>
          <w:u w:val="single"/>
        </w:rPr>
      </w:pPr>
    </w:p>
    <w:p w14:paraId="21416C99" w14:textId="77777777" w:rsidR="00723E9C" w:rsidRDefault="00723E9C" w:rsidP="000A49BA">
      <w:pPr>
        <w:jc w:val="center"/>
        <w:rPr>
          <w:b/>
          <w:sz w:val="24"/>
          <w:szCs w:val="24"/>
          <w:u w:val="single"/>
        </w:rPr>
      </w:pPr>
    </w:p>
    <w:p w14:paraId="24E1F00D" w14:textId="77777777" w:rsidR="00D733AB" w:rsidRDefault="00D733AB" w:rsidP="00D733AB">
      <w:pPr>
        <w:jc w:val="center"/>
        <w:rPr>
          <w:b/>
          <w:sz w:val="24"/>
          <w:szCs w:val="24"/>
          <w:u w:val="single"/>
        </w:rPr>
      </w:pPr>
    </w:p>
    <w:p w14:paraId="0AC2E663" w14:textId="77777777" w:rsidR="000A49BA" w:rsidRDefault="00BE4535" w:rsidP="00D733AB">
      <w:pPr>
        <w:spacing w:after="360"/>
        <w:jc w:val="center"/>
        <w:rPr>
          <w:b/>
          <w:sz w:val="24"/>
          <w:szCs w:val="24"/>
          <w:u w:val="single"/>
        </w:rPr>
      </w:pPr>
      <w:bookmarkStart w:id="0" w:name="_Hlk48914717"/>
      <w:r>
        <w:rPr>
          <w:b/>
          <w:sz w:val="24"/>
          <w:szCs w:val="24"/>
          <w:u w:val="single"/>
        </w:rPr>
        <w:t xml:space="preserve">Appendix </w:t>
      </w:r>
      <w:r w:rsidR="002E50D4">
        <w:rPr>
          <w:b/>
          <w:sz w:val="24"/>
          <w:szCs w:val="24"/>
          <w:u w:val="single"/>
        </w:rPr>
        <w:t>4</w:t>
      </w:r>
      <w:r w:rsidR="000A49BA">
        <w:rPr>
          <w:b/>
          <w:sz w:val="24"/>
          <w:szCs w:val="24"/>
          <w:u w:val="single"/>
        </w:rPr>
        <w:t xml:space="preserve">: </w:t>
      </w:r>
      <w:r w:rsidR="001851B0">
        <w:rPr>
          <w:b/>
          <w:sz w:val="24"/>
          <w:szCs w:val="24"/>
          <w:u w:val="single"/>
        </w:rPr>
        <w:t>Previously observed</w:t>
      </w:r>
      <w:r w:rsidR="00681B3A">
        <w:rPr>
          <w:b/>
          <w:sz w:val="24"/>
          <w:szCs w:val="24"/>
          <w:u w:val="single"/>
        </w:rPr>
        <w:t xml:space="preserve"> </w:t>
      </w:r>
      <w:r w:rsidR="001851B0">
        <w:rPr>
          <w:b/>
          <w:sz w:val="24"/>
          <w:szCs w:val="24"/>
          <w:u w:val="single"/>
        </w:rPr>
        <w:t>i</w:t>
      </w:r>
      <w:r w:rsidR="00DD6776">
        <w:rPr>
          <w:b/>
          <w:sz w:val="24"/>
          <w:szCs w:val="24"/>
          <w:u w:val="single"/>
        </w:rPr>
        <w:t>ssues at the Gantr</w:t>
      </w:r>
      <w:r w:rsidR="001851B0">
        <w:rPr>
          <w:b/>
          <w:sz w:val="24"/>
          <w:szCs w:val="24"/>
          <w:u w:val="single"/>
        </w:rPr>
        <w:t>ies</w:t>
      </w:r>
    </w:p>
    <w:bookmarkEnd w:id="0"/>
    <w:p w14:paraId="720D1843" w14:textId="77777777" w:rsidR="00DD6776" w:rsidRPr="000A49BA" w:rsidRDefault="002C0463" w:rsidP="001851B0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DD6776">
        <w:rPr>
          <w:b/>
          <w:sz w:val="24"/>
          <w:szCs w:val="24"/>
        </w:rPr>
        <w:t xml:space="preserve">ssue 1: </w:t>
      </w:r>
      <w:r w:rsidR="001851B0">
        <w:rPr>
          <w:b/>
          <w:sz w:val="24"/>
          <w:szCs w:val="24"/>
        </w:rPr>
        <w:t>M</w:t>
      </w:r>
      <w:r w:rsidR="00F20ECD" w:rsidRPr="000A49BA">
        <w:rPr>
          <w:b/>
          <w:sz w:val="24"/>
          <w:szCs w:val="24"/>
        </w:rPr>
        <w:t>ain lifting chains are too short.</w:t>
      </w:r>
      <w:r w:rsidR="00F20ECD">
        <w:rPr>
          <w:b/>
          <w:sz w:val="24"/>
          <w:szCs w:val="24"/>
        </w:rPr>
        <w:t xml:space="preserve"> </w:t>
      </w:r>
      <w:r w:rsidR="00F20ECD">
        <w:rPr>
          <w:sz w:val="24"/>
          <w:szCs w:val="24"/>
        </w:rPr>
        <w:t>Main lifting chains need to be long enough that</w:t>
      </w:r>
      <w:r w:rsidR="001851B0">
        <w:rPr>
          <w:sz w:val="24"/>
          <w:szCs w:val="24"/>
        </w:rPr>
        <w:t xml:space="preserve"> </w:t>
      </w:r>
      <w:r w:rsidR="00F20ECD">
        <w:rPr>
          <w:sz w:val="24"/>
          <w:szCs w:val="24"/>
        </w:rPr>
        <w:t xml:space="preserve">an angle of less than 120° is created between these chains </w:t>
      </w:r>
      <w:r w:rsidR="00681B3A">
        <w:rPr>
          <w:sz w:val="24"/>
          <w:szCs w:val="24"/>
        </w:rPr>
        <w:t>below the main lifting ring.</w:t>
      </w:r>
    </w:p>
    <w:p w14:paraId="7B68BA4C" w14:textId="77777777" w:rsidR="000A49BA" w:rsidRPr="000A49BA" w:rsidRDefault="002C0463" w:rsidP="001851B0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0A49BA">
        <w:rPr>
          <w:b/>
          <w:sz w:val="24"/>
          <w:szCs w:val="24"/>
        </w:rPr>
        <w:t xml:space="preserve">ssue </w:t>
      </w:r>
      <w:r w:rsidR="00DD6776">
        <w:rPr>
          <w:b/>
          <w:sz w:val="24"/>
          <w:szCs w:val="24"/>
        </w:rPr>
        <w:t>2</w:t>
      </w:r>
      <w:r w:rsidR="000A49BA">
        <w:rPr>
          <w:b/>
          <w:sz w:val="24"/>
          <w:szCs w:val="24"/>
        </w:rPr>
        <w:t xml:space="preserve">: </w:t>
      </w:r>
      <w:r w:rsidR="003A3A17" w:rsidRPr="00155A60">
        <w:rPr>
          <w:b/>
          <w:sz w:val="24"/>
          <w:szCs w:val="24"/>
        </w:rPr>
        <w:t>Damage to chain links</w:t>
      </w:r>
      <w:r w:rsidR="003A3A17">
        <w:rPr>
          <w:sz w:val="24"/>
          <w:szCs w:val="24"/>
        </w:rPr>
        <w:t xml:space="preserve"> on the main lifting chain</w:t>
      </w:r>
      <w:r w:rsidR="00BC5C3A">
        <w:rPr>
          <w:sz w:val="24"/>
          <w:szCs w:val="24"/>
        </w:rPr>
        <w:t xml:space="preserve"> especially</w:t>
      </w:r>
      <w:r w:rsidR="003A3A17">
        <w:rPr>
          <w:sz w:val="24"/>
          <w:szCs w:val="24"/>
        </w:rPr>
        <w:t xml:space="preserve"> adjacent to the master ring.</w:t>
      </w:r>
      <w:r w:rsidR="00BC5C3A">
        <w:rPr>
          <w:sz w:val="24"/>
          <w:szCs w:val="24"/>
        </w:rPr>
        <w:t xml:space="preserve"> Damage in the region of the bridle chains </w:t>
      </w:r>
      <w:r w:rsidR="001851B0">
        <w:rPr>
          <w:sz w:val="24"/>
          <w:szCs w:val="24"/>
        </w:rPr>
        <w:t>is</w:t>
      </w:r>
      <w:r w:rsidR="00BC5C3A">
        <w:rPr>
          <w:sz w:val="24"/>
          <w:szCs w:val="24"/>
        </w:rPr>
        <w:t xml:space="preserve"> less common but </w:t>
      </w:r>
      <w:r w:rsidR="001851B0">
        <w:rPr>
          <w:sz w:val="24"/>
          <w:szCs w:val="24"/>
        </w:rPr>
        <w:t>is still possible</w:t>
      </w:r>
      <w:r w:rsidR="00BC5C3A">
        <w:rPr>
          <w:sz w:val="24"/>
          <w:szCs w:val="24"/>
        </w:rPr>
        <w:t>.</w:t>
      </w:r>
    </w:p>
    <w:p w14:paraId="7BBFEE77" w14:textId="77777777" w:rsidR="000A49BA" w:rsidRPr="003A3A17" w:rsidRDefault="002C0463" w:rsidP="001851B0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DD6776">
        <w:rPr>
          <w:b/>
          <w:sz w:val="24"/>
          <w:szCs w:val="24"/>
        </w:rPr>
        <w:t>ssue 3</w:t>
      </w:r>
      <w:r w:rsidR="00BE4535" w:rsidRPr="00BE4535">
        <w:rPr>
          <w:b/>
          <w:sz w:val="24"/>
          <w:szCs w:val="24"/>
        </w:rPr>
        <w:t>:</w:t>
      </w:r>
      <w:r w:rsidR="001851B0">
        <w:rPr>
          <w:b/>
          <w:sz w:val="24"/>
          <w:szCs w:val="24"/>
        </w:rPr>
        <w:t xml:space="preserve"> </w:t>
      </w:r>
      <w:r w:rsidR="00D733AB" w:rsidRPr="00155A60">
        <w:rPr>
          <w:b/>
          <w:sz w:val="24"/>
          <w:szCs w:val="24"/>
        </w:rPr>
        <w:t>Hammerlocks</w:t>
      </w:r>
      <w:r w:rsidR="00D733AB">
        <w:rPr>
          <w:sz w:val="24"/>
          <w:szCs w:val="24"/>
        </w:rPr>
        <w:t xml:space="preserve"> are only designed to have a single link coupled with each section. Overloading hammerlocks causes uneven forces through the pivot po</w:t>
      </w:r>
      <w:r w:rsidR="00681B3A">
        <w:rPr>
          <w:sz w:val="24"/>
          <w:szCs w:val="24"/>
        </w:rPr>
        <w:t>ints which can lead to failure.</w:t>
      </w:r>
    </w:p>
    <w:p w14:paraId="0D2C4AFD" w14:textId="77777777" w:rsidR="001851B0" w:rsidRDefault="00B609F5" w:rsidP="001851B0">
      <w:pPr>
        <w:ind w:left="851" w:hanging="851"/>
        <w:jc w:val="both"/>
        <w:rPr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42EBE19" wp14:editId="003F9017">
            <wp:simplePos x="0" y="0"/>
            <wp:positionH relativeFrom="margin">
              <wp:posOffset>3309092</wp:posOffset>
            </wp:positionH>
            <wp:positionV relativeFrom="paragraph">
              <wp:posOffset>479953</wp:posOffset>
            </wp:positionV>
            <wp:extent cx="1992012" cy="2876953"/>
            <wp:effectExtent l="0" t="4127" r="4127" b="4128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0471" cy="290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535" w:rsidRPr="00BE4535">
        <w:rPr>
          <w:b/>
          <w:sz w:val="24"/>
          <w:szCs w:val="24"/>
        </w:rPr>
        <w:t>I</w:t>
      </w:r>
      <w:r w:rsidR="00DD6776">
        <w:rPr>
          <w:b/>
          <w:sz w:val="24"/>
          <w:szCs w:val="24"/>
        </w:rPr>
        <w:t>ssue 4</w:t>
      </w:r>
      <w:r w:rsidR="00BE4535" w:rsidRPr="00BE4535">
        <w:rPr>
          <w:b/>
          <w:sz w:val="24"/>
          <w:szCs w:val="24"/>
        </w:rPr>
        <w:t>:</w:t>
      </w:r>
      <w:r w:rsidR="001851B0">
        <w:rPr>
          <w:b/>
          <w:sz w:val="24"/>
          <w:szCs w:val="24"/>
        </w:rPr>
        <w:t xml:space="preserve"> </w:t>
      </w:r>
      <w:r w:rsidR="00D733AB">
        <w:rPr>
          <w:b/>
          <w:sz w:val="24"/>
          <w:szCs w:val="24"/>
        </w:rPr>
        <w:t xml:space="preserve">Incorrect set up of the lifting rig. </w:t>
      </w:r>
      <w:r w:rsidR="00681B3A" w:rsidRPr="00681B3A">
        <w:rPr>
          <w:sz w:val="24"/>
          <w:szCs w:val="24"/>
        </w:rPr>
        <w:t>Many i</w:t>
      </w:r>
      <w:r w:rsidR="00D733AB">
        <w:rPr>
          <w:sz w:val="24"/>
          <w:szCs w:val="24"/>
        </w:rPr>
        <w:t xml:space="preserve">mprovements noted </w:t>
      </w:r>
      <w:r w:rsidR="00681B3A">
        <w:rPr>
          <w:sz w:val="24"/>
          <w:szCs w:val="24"/>
        </w:rPr>
        <w:t xml:space="preserve">during annual </w:t>
      </w:r>
      <w:r w:rsidR="00D733AB">
        <w:rPr>
          <w:sz w:val="24"/>
          <w:szCs w:val="24"/>
        </w:rPr>
        <w:t>Gantry Safety Day</w:t>
      </w:r>
      <w:r w:rsidR="00681B3A">
        <w:rPr>
          <w:sz w:val="24"/>
          <w:szCs w:val="24"/>
        </w:rPr>
        <w:t>s</w:t>
      </w:r>
      <w:r w:rsidR="00D733AB">
        <w:rPr>
          <w:sz w:val="24"/>
          <w:szCs w:val="24"/>
        </w:rPr>
        <w:t>. Please ensure that lifting chains are grade 100 and compliant with LTSC standards. Lashing chains must also be at least 6mm and in good condition. C</w:t>
      </w:r>
      <w:r w:rsidR="002B7FAB">
        <w:rPr>
          <w:sz w:val="24"/>
          <w:szCs w:val="24"/>
        </w:rPr>
        <w:t>orrect c</w:t>
      </w:r>
      <w:r w:rsidR="00D733AB">
        <w:rPr>
          <w:sz w:val="24"/>
          <w:szCs w:val="24"/>
        </w:rPr>
        <w:t xml:space="preserve">onfiguration is also </w:t>
      </w:r>
      <w:r w:rsidR="002B7FAB">
        <w:rPr>
          <w:sz w:val="24"/>
          <w:szCs w:val="24"/>
        </w:rPr>
        <w:t xml:space="preserve">essential, see </w:t>
      </w:r>
      <w:r w:rsidR="00681B3A">
        <w:rPr>
          <w:sz w:val="24"/>
          <w:szCs w:val="24"/>
        </w:rPr>
        <w:t xml:space="preserve">example </w:t>
      </w:r>
      <w:r w:rsidR="002B7FAB">
        <w:rPr>
          <w:sz w:val="24"/>
          <w:szCs w:val="24"/>
        </w:rPr>
        <w:t>below</w:t>
      </w:r>
      <w:r w:rsidR="001851B0">
        <w:rPr>
          <w:sz w:val="24"/>
          <w:szCs w:val="24"/>
        </w:rPr>
        <w:t>:</w:t>
      </w:r>
    </w:p>
    <w:p w14:paraId="774573D8" w14:textId="77777777" w:rsidR="00B609F5" w:rsidRDefault="001851B0" w:rsidP="001851B0">
      <w:pPr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33EFC" w:rsidRPr="00AD37DD">
        <w:rPr>
          <w:sz w:val="24"/>
          <w:szCs w:val="24"/>
        </w:rPr>
        <w:t>h</w:t>
      </w:r>
      <w:r w:rsidR="00B609F5">
        <w:rPr>
          <w:sz w:val="24"/>
          <w:szCs w:val="24"/>
        </w:rPr>
        <w:t>is</w:t>
      </w:r>
      <w:r w:rsidR="00033EFC" w:rsidRPr="00AD37DD">
        <w:rPr>
          <w:sz w:val="24"/>
          <w:szCs w:val="24"/>
        </w:rPr>
        <w:t xml:space="preserve"> setup was recently </w:t>
      </w:r>
      <w:r w:rsidR="00115ABD">
        <w:rPr>
          <w:sz w:val="24"/>
          <w:szCs w:val="24"/>
        </w:rPr>
        <w:t>seen</w:t>
      </w:r>
      <w:r w:rsidR="00033EFC" w:rsidRPr="00AD37DD">
        <w:rPr>
          <w:sz w:val="24"/>
          <w:szCs w:val="24"/>
        </w:rPr>
        <w:t xml:space="preserve"> at </w:t>
      </w:r>
      <w:r w:rsidR="00B609F5">
        <w:rPr>
          <w:sz w:val="24"/>
          <w:szCs w:val="24"/>
        </w:rPr>
        <w:t>the gantry</w:t>
      </w:r>
    </w:p>
    <w:p w14:paraId="3E7A1E8E" w14:textId="77777777" w:rsidR="00B609F5" w:rsidRDefault="00033EFC" w:rsidP="00115ABD">
      <w:pPr>
        <w:ind w:left="720" w:right="95"/>
        <w:jc w:val="both"/>
        <w:rPr>
          <w:sz w:val="24"/>
          <w:szCs w:val="24"/>
        </w:rPr>
      </w:pPr>
      <w:r w:rsidRPr="00AD37DD">
        <w:rPr>
          <w:sz w:val="24"/>
          <w:szCs w:val="24"/>
        </w:rPr>
        <w:t>1) No use of lifting ring on hook</w:t>
      </w:r>
    </w:p>
    <w:p w14:paraId="6DF2F571" w14:textId="77777777" w:rsidR="00B609F5" w:rsidRDefault="00033EFC" w:rsidP="00115ABD">
      <w:pPr>
        <w:ind w:left="720" w:right="95"/>
        <w:jc w:val="both"/>
        <w:rPr>
          <w:sz w:val="24"/>
          <w:szCs w:val="24"/>
        </w:rPr>
      </w:pPr>
      <w:r w:rsidRPr="00AD37DD">
        <w:rPr>
          <w:sz w:val="24"/>
          <w:szCs w:val="24"/>
        </w:rPr>
        <w:t>2) Overloaded hammerlock</w:t>
      </w:r>
    </w:p>
    <w:p w14:paraId="1CBED14F" w14:textId="77777777" w:rsidR="00B609F5" w:rsidRDefault="00033EFC" w:rsidP="00115ABD">
      <w:pPr>
        <w:ind w:left="720" w:right="95"/>
        <w:jc w:val="both"/>
        <w:rPr>
          <w:sz w:val="24"/>
          <w:szCs w:val="24"/>
        </w:rPr>
      </w:pPr>
      <w:r w:rsidRPr="00AD37DD">
        <w:rPr>
          <w:sz w:val="24"/>
          <w:szCs w:val="24"/>
        </w:rPr>
        <w:t>3) Twist in chain</w:t>
      </w:r>
    </w:p>
    <w:p w14:paraId="5F7094D8" w14:textId="77777777" w:rsidR="00033EFC" w:rsidRDefault="00033EFC" w:rsidP="00115ABD">
      <w:pPr>
        <w:ind w:left="720" w:right="95"/>
        <w:jc w:val="both"/>
        <w:rPr>
          <w:sz w:val="24"/>
          <w:szCs w:val="24"/>
        </w:rPr>
      </w:pPr>
      <w:r w:rsidRPr="00AD37DD">
        <w:rPr>
          <w:sz w:val="24"/>
          <w:szCs w:val="24"/>
        </w:rPr>
        <w:t>4) Focal loading of chain.</w:t>
      </w:r>
    </w:p>
    <w:p w14:paraId="7D0B17CE" w14:textId="77777777" w:rsidR="00B609F5" w:rsidRDefault="00B609F5" w:rsidP="001851B0">
      <w:pPr>
        <w:ind w:right="95"/>
        <w:jc w:val="both"/>
        <w:rPr>
          <w:sz w:val="24"/>
          <w:szCs w:val="24"/>
        </w:rPr>
      </w:pPr>
    </w:p>
    <w:p w14:paraId="2D9D24E9" w14:textId="77777777" w:rsidR="00115ABD" w:rsidRDefault="00115ABD" w:rsidP="001851B0">
      <w:pPr>
        <w:ind w:right="95"/>
        <w:jc w:val="both"/>
        <w:rPr>
          <w:sz w:val="24"/>
          <w:szCs w:val="24"/>
        </w:rPr>
      </w:pPr>
    </w:p>
    <w:p w14:paraId="009DC7DB" w14:textId="0587D9AB" w:rsidR="00115ABD" w:rsidRDefault="00115ABD" w:rsidP="00115ABD">
      <w:pPr>
        <w:spacing w:after="0"/>
        <w:ind w:left="851" w:hanging="85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876F04" wp14:editId="63BAA9D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01520" cy="2990850"/>
            <wp:effectExtent l="0" t="0" r="0" b="0"/>
            <wp:wrapNone/>
            <wp:docPr id="8" name="Picture 8" descr="100x150 WARNING 3 Points of Contact Must be Maintained | Sh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x150 WARNING 3 Points of Contact Must be Maintained | Shop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1B0" w:rsidRPr="001851B0">
        <w:rPr>
          <w:b/>
          <w:sz w:val="24"/>
          <w:szCs w:val="24"/>
        </w:rPr>
        <w:t xml:space="preserve">Issue 5: </w:t>
      </w:r>
      <w:r w:rsidR="001851B0">
        <w:rPr>
          <w:b/>
          <w:sz w:val="24"/>
          <w:szCs w:val="24"/>
        </w:rPr>
        <w:t xml:space="preserve">Slips, </w:t>
      </w:r>
      <w:proofErr w:type="gramStart"/>
      <w:r w:rsidR="001851B0">
        <w:rPr>
          <w:b/>
          <w:sz w:val="24"/>
          <w:szCs w:val="24"/>
        </w:rPr>
        <w:t>trips</w:t>
      </w:r>
      <w:proofErr w:type="gramEnd"/>
      <w:r w:rsidR="001851B0">
        <w:rPr>
          <w:b/>
          <w:sz w:val="24"/>
          <w:szCs w:val="24"/>
        </w:rPr>
        <w:t xml:space="preserve"> and falls</w:t>
      </w:r>
      <w:r w:rsidR="001851B0" w:rsidRPr="001851B0">
        <w:rPr>
          <w:bCs/>
          <w:sz w:val="24"/>
          <w:szCs w:val="24"/>
        </w:rPr>
        <w:t>.  During 20</w:t>
      </w:r>
      <w:r w:rsidR="0059218A">
        <w:rPr>
          <w:bCs/>
          <w:sz w:val="24"/>
          <w:szCs w:val="24"/>
        </w:rPr>
        <w:t>20</w:t>
      </w:r>
      <w:r w:rsidR="001851B0" w:rsidRPr="001851B0">
        <w:rPr>
          <w:bCs/>
          <w:sz w:val="24"/>
          <w:szCs w:val="24"/>
        </w:rPr>
        <w:t>/2</w:t>
      </w:r>
      <w:r w:rsidR="0059218A">
        <w:rPr>
          <w:bCs/>
          <w:sz w:val="24"/>
          <w:szCs w:val="24"/>
        </w:rPr>
        <w:t>1</w:t>
      </w:r>
      <w:r w:rsidR="001851B0" w:rsidRPr="001851B0">
        <w:rPr>
          <w:bCs/>
          <w:sz w:val="24"/>
          <w:szCs w:val="24"/>
        </w:rPr>
        <w:t xml:space="preserve">, </w:t>
      </w:r>
      <w:r w:rsidR="00AD37DD" w:rsidRPr="001851B0">
        <w:rPr>
          <w:bCs/>
          <w:sz w:val="24"/>
          <w:szCs w:val="24"/>
        </w:rPr>
        <w:t>there</w:t>
      </w:r>
      <w:r w:rsidR="00AD37DD" w:rsidRPr="00AD37DD">
        <w:rPr>
          <w:sz w:val="24"/>
          <w:szCs w:val="24"/>
        </w:rPr>
        <w:t xml:space="preserve"> have</w:t>
      </w:r>
    </w:p>
    <w:p w14:paraId="4008BB6E" w14:textId="77777777" w:rsidR="00115ABD" w:rsidRDefault="00AD37DD" w:rsidP="00115ABD">
      <w:pPr>
        <w:spacing w:after="0"/>
        <w:ind w:left="851"/>
        <w:jc w:val="both"/>
        <w:rPr>
          <w:sz w:val="24"/>
          <w:szCs w:val="24"/>
        </w:rPr>
      </w:pPr>
      <w:r w:rsidRPr="00AD37DD"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2 incidents where drivers have </w:t>
      </w:r>
      <w:r w:rsidR="001851B0">
        <w:rPr>
          <w:sz w:val="24"/>
          <w:szCs w:val="24"/>
        </w:rPr>
        <w:t>slipped</w:t>
      </w:r>
    </w:p>
    <w:p w14:paraId="2A0B3E82" w14:textId="77777777" w:rsidR="00115ABD" w:rsidRDefault="00AD37DD" w:rsidP="00115ABD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from the</w:t>
      </w:r>
      <w:r w:rsidR="001851B0">
        <w:rPr>
          <w:sz w:val="24"/>
          <w:szCs w:val="24"/>
        </w:rPr>
        <w:t>ir</w:t>
      </w:r>
      <w:r>
        <w:rPr>
          <w:sz w:val="24"/>
          <w:szCs w:val="24"/>
        </w:rPr>
        <w:t xml:space="preserve"> truck while</w:t>
      </w:r>
      <w:r w:rsidR="00974764">
        <w:rPr>
          <w:sz w:val="24"/>
          <w:szCs w:val="24"/>
        </w:rPr>
        <w:t xml:space="preserve"> </w:t>
      </w:r>
      <w:r w:rsidR="001851B0">
        <w:rPr>
          <w:sz w:val="24"/>
          <w:szCs w:val="24"/>
        </w:rPr>
        <w:t>at the gantries</w:t>
      </w:r>
      <w:r>
        <w:rPr>
          <w:sz w:val="24"/>
          <w:szCs w:val="24"/>
        </w:rPr>
        <w:t xml:space="preserve">. </w:t>
      </w:r>
      <w:r w:rsidR="001851B0">
        <w:rPr>
          <w:sz w:val="24"/>
          <w:szCs w:val="24"/>
        </w:rPr>
        <w:t xml:space="preserve"> Northport</w:t>
      </w:r>
    </w:p>
    <w:p w14:paraId="0C69D47A" w14:textId="77777777" w:rsidR="00115ABD" w:rsidRDefault="001851B0" w:rsidP="00115ABD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is investigating other options (e.g.: fixed</w:t>
      </w:r>
    </w:p>
    <w:p w14:paraId="5308F83A" w14:textId="77777777" w:rsidR="00115ABD" w:rsidRDefault="001851B0" w:rsidP="00115ABD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platform or automatic hook) while remaining</w:t>
      </w:r>
    </w:p>
    <w:p w14:paraId="1A27B3D9" w14:textId="77777777" w:rsidR="00115ABD" w:rsidRDefault="001851B0" w:rsidP="00115ABD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compliant with </w:t>
      </w:r>
      <w:proofErr w:type="spellStart"/>
      <w:r>
        <w:rPr>
          <w:sz w:val="24"/>
          <w:szCs w:val="24"/>
        </w:rPr>
        <w:t>Worksafe’s</w:t>
      </w:r>
      <w:proofErr w:type="spellEnd"/>
      <w:r>
        <w:rPr>
          <w:sz w:val="24"/>
          <w:szCs w:val="24"/>
        </w:rPr>
        <w:t xml:space="preserve"> ACOP for safe lifting</w:t>
      </w:r>
    </w:p>
    <w:p w14:paraId="002B3918" w14:textId="77777777" w:rsidR="00115ABD" w:rsidRDefault="001851B0" w:rsidP="00115ABD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and rigging, but in the interim, p</w:t>
      </w:r>
      <w:r w:rsidR="00AD37DD">
        <w:rPr>
          <w:sz w:val="24"/>
          <w:szCs w:val="24"/>
        </w:rPr>
        <w:t xml:space="preserve">lease </w:t>
      </w:r>
      <w:r>
        <w:rPr>
          <w:sz w:val="24"/>
          <w:szCs w:val="24"/>
        </w:rPr>
        <w:t>remind</w:t>
      </w:r>
    </w:p>
    <w:p w14:paraId="1539F61C" w14:textId="77777777" w:rsidR="00115ABD" w:rsidRDefault="00AD37DD" w:rsidP="00115ABD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drivers to </w:t>
      </w:r>
      <w:proofErr w:type="gramStart"/>
      <w:r>
        <w:rPr>
          <w:sz w:val="24"/>
          <w:szCs w:val="24"/>
        </w:rPr>
        <w:t xml:space="preserve">have 3 points of </w:t>
      </w:r>
      <w:r w:rsidR="00B609F5">
        <w:rPr>
          <w:sz w:val="24"/>
          <w:szCs w:val="24"/>
        </w:rPr>
        <w:t>c</w:t>
      </w:r>
      <w:r>
        <w:rPr>
          <w:sz w:val="24"/>
          <w:szCs w:val="24"/>
        </w:rPr>
        <w:t xml:space="preserve">ontact at </w:t>
      </w:r>
      <w:r w:rsidRPr="00AD37DD"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times</w:t>
      </w:r>
      <w:proofErr w:type="gramEnd"/>
    </w:p>
    <w:p w14:paraId="6BA33FFA" w14:textId="77777777" w:rsidR="00B609F5" w:rsidRDefault="00AD37DD" w:rsidP="00115ABD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when climbing on or off their truck.</w:t>
      </w:r>
    </w:p>
    <w:p w14:paraId="70DA3DAE" w14:textId="77777777" w:rsidR="00B609F5" w:rsidRDefault="00B609F5" w:rsidP="00B609F5">
      <w:pPr>
        <w:rPr>
          <w:sz w:val="24"/>
          <w:szCs w:val="24"/>
        </w:rPr>
      </w:pPr>
    </w:p>
    <w:p w14:paraId="7F7D22C9" w14:textId="77777777" w:rsidR="00B609F5" w:rsidRDefault="00B609F5" w:rsidP="00B609F5">
      <w:pPr>
        <w:rPr>
          <w:sz w:val="24"/>
          <w:szCs w:val="24"/>
        </w:rPr>
      </w:pPr>
    </w:p>
    <w:p w14:paraId="7EAC6C7B" w14:textId="77777777" w:rsidR="00B609F5" w:rsidRDefault="00B609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CAA771" w14:textId="77777777" w:rsidR="00B609F5" w:rsidRDefault="00B609F5" w:rsidP="00B609F5">
      <w:pPr>
        <w:spacing w:after="360"/>
        <w:jc w:val="center"/>
        <w:rPr>
          <w:b/>
          <w:sz w:val="24"/>
          <w:szCs w:val="24"/>
          <w:u w:val="single"/>
        </w:rPr>
      </w:pPr>
    </w:p>
    <w:p w14:paraId="56FEC82C" w14:textId="77777777" w:rsidR="0043374A" w:rsidRDefault="0043374A" w:rsidP="0043374A">
      <w:pPr>
        <w:spacing w:after="360"/>
        <w:jc w:val="center"/>
        <w:rPr>
          <w:b/>
          <w:sz w:val="24"/>
          <w:szCs w:val="24"/>
          <w:u w:val="single"/>
        </w:rPr>
      </w:pPr>
    </w:p>
    <w:p w14:paraId="75A3EF14" w14:textId="4EF45F60" w:rsidR="000D19DB" w:rsidRPr="0043374A" w:rsidRDefault="00150E40" w:rsidP="00E51F1C">
      <w:pPr>
        <w:spacing w:after="360"/>
        <w:jc w:val="center"/>
      </w:pPr>
      <w:r w:rsidRPr="0043374A">
        <w:rPr>
          <w:noProof/>
        </w:rPr>
        <w:drawing>
          <wp:anchor distT="0" distB="0" distL="114300" distR="114300" simplePos="0" relativeHeight="251658240" behindDoc="0" locked="0" layoutInCell="1" allowOverlap="1" wp14:anchorId="77171105" wp14:editId="4AF4D5A4">
            <wp:simplePos x="0" y="0"/>
            <wp:positionH relativeFrom="margin">
              <wp:posOffset>33020</wp:posOffset>
            </wp:positionH>
            <wp:positionV relativeFrom="margin">
              <wp:posOffset>715645</wp:posOffset>
            </wp:positionV>
            <wp:extent cx="5944870" cy="8539480"/>
            <wp:effectExtent l="0" t="0" r="0" b="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853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9DB" w:rsidRPr="0043374A" w:rsidSect="00D733AB">
      <w:footerReference w:type="default" r:id="rId16"/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5B31" w14:textId="77777777" w:rsidR="00923867" w:rsidRDefault="00923867" w:rsidP="00E312D3">
      <w:pPr>
        <w:spacing w:after="0" w:line="240" w:lineRule="auto"/>
      </w:pPr>
      <w:r>
        <w:separator/>
      </w:r>
    </w:p>
  </w:endnote>
  <w:endnote w:type="continuationSeparator" w:id="0">
    <w:p w14:paraId="64A629F6" w14:textId="77777777" w:rsidR="00923867" w:rsidRDefault="00923867" w:rsidP="00E3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B997" w14:textId="01C134A7" w:rsidR="00E312D3" w:rsidRPr="00E312D3" w:rsidRDefault="003D4B83" w:rsidP="003D4B83">
    <w:pPr>
      <w:pStyle w:val="Footer"/>
      <w:rPr>
        <w:sz w:val="16"/>
        <w:szCs w:val="16"/>
      </w:rPr>
    </w:pPr>
    <w:r w:rsidRPr="003D4B83">
      <w:rPr>
        <w:sz w:val="16"/>
        <w:szCs w:val="16"/>
      </w:rPr>
      <w:t>K:\Operations\Plant\Gantry\Gantry Stickers 20</w:t>
    </w:r>
    <w:r w:rsidR="00AA435F">
      <w:rPr>
        <w:sz w:val="16"/>
        <w:szCs w:val="16"/>
      </w:rPr>
      <w:t>2</w:t>
    </w:r>
    <w:r w:rsidR="006F7500">
      <w:rPr>
        <w:sz w:val="16"/>
        <w:szCs w:val="16"/>
      </w:rPr>
      <w:t>1</w:t>
    </w:r>
    <w:r w:rsidRPr="003D4B83">
      <w:rPr>
        <w:sz w:val="16"/>
        <w:szCs w:val="16"/>
      </w:rPr>
      <w:t>-20</w:t>
    </w:r>
    <w:r w:rsidR="00616529">
      <w:rPr>
        <w:sz w:val="16"/>
        <w:szCs w:val="16"/>
      </w:rPr>
      <w:t>2</w:t>
    </w:r>
    <w:r w:rsidR="006F7500">
      <w:rPr>
        <w:sz w:val="16"/>
        <w:szCs w:val="16"/>
      </w:rPr>
      <w:t>2</w:t>
    </w:r>
    <w:r w:rsidRPr="003D4B83">
      <w:rPr>
        <w:sz w:val="16"/>
        <w:szCs w:val="16"/>
      </w:rPr>
      <w:t>\Admin</w:t>
    </w:r>
    <w:r>
      <w:rPr>
        <w:sz w:val="16"/>
        <w:szCs w:val="16"/>
      </w:rPr>
      <w:t xml:space="preserve">                               </w:t>
    </w:r>
    <w:r w:rsidR="00E312D3" w:rsidRPr="00E312D3">
      <w:rPr>
        <w:sz w:val="16"/>
        <w:szCs w:val="16"/>
      </w:rPr>
      <w:tab/>
    </w:r>
    <w:sdt>
      <w:sdtPr>
        <w:rPr>
          <w:sz w:val="16"/>
          <w:szCs w:val="16"/>
        </w:rPr>
        <w:id w:val="-10064347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995259469"/>
            <w:docPartObj>
              <w:docPartGallery w:val="Page Numbers (Top of Page)"/>
              <w:docPartUnique/>
            </w:docPartObj>
          </w:sdtPr>
          <w:sdtEndPr/>
          <w:sdtContent>
            <w:r w:rsidR="00E312D3" w:rsidRPr="00E312D3">
              <w:rPr>
                <w:sz w:val="16"/>
                <w:szCs w:val="16"/>
              </w:rPr>
              <w:t xml:space="preserve">Page </w:t>
            </w:r>
            <w:r w:rsidR="00E312D3" w:rsidRPr="00E312D3">
              <w:rPr>
                <w:b/>
                <w:bCs/>
                <w:sz w:val="16"/>
                <w:szCs w:val="16"/>
              </w:rPr>
              <w:fldChar w:fldCharType="begin"/>
            </w:r>
            <w:r w:rsidR="00E312D3" w:rsidRPr="00E312D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312D3" w:rsidRPr="00E312D3">
              <w:rPr>
                <w:b/>
                <w:bCs/>
                <w:sz w:val="16"/>
                <w:szCs w:val="16"/>
              </w:rPr>
              <w:fldChar w:fldCharType="separate"/>
            </w:r>
            <w:r w:rsidR="00D60F98">
              <w:rPr>
                <w:b/>
                <w:bCs/>
                <w:noProof/>
                <w:sz w:val="16"/>
                <w:szCs w:val="16"/>
              </w:rPr>
              <w:t>8</w:t>
            </w:r>
            <w:r w:rsidR="00E312D3" w:rsidRPr="00E312D3">
              <w:rPr>
                <w:b/>
                <w:bCs/>
                <w:sz w:val="16"/>
                <w:szCs w:val="16"/>
              </w:rPr>
              <w:fldChar w:fldCharType="end"/>
            </w:r>
            <w:r w:rsidR="00E312D3" w:rsidRPr="00E312D3">
              <w:rPr>
                <w:sz w:val="16"/>
                <w:szCs w:val="16"/>
              </w:rPr>
              <w:t xml:space="preserve"> of </w:t>
            </w:r>
            <w:r w:rsidR="00E312D3" w:rsidRPr="00E312D3">
              <w:rPr>
                <w:b/>
                <w:bCs/>
                <w:sz w:val="16"/>
                <w:szCs w:val="16"/>
              </w:rPr>
              <w:fldChar w:fldCharType="begin"/>
            </w:r>
            <w:r w:rsidR="00E312D3" w:rsidRPr="00E312D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312D3" w:rsidRPr="00E312D3">
              <w:rPr>
                <w:b/>
                <w:bCs/>
                <w:sz w:val="16"/>
                <w:szCs w:val="16"/>
              </w:rPr>
              <w:fldChar w:fldCharType="separate"/>
            </w:r>
            <w:r w:rsidR="00D60F98">
              <w:rPr>
                <w:b/>
                <w:bCs/>
                <w:noProof/>
                <w:sz w:val="16"/>
                <w:szCs w:val="16"/>
              </w:rPr>
              <w:t>8</w:t>
            </w:r>
            <w:r w:rsidR="00E312D3" w:rsidRPr="00E312D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3539372" w14:textId="77777777" w:rsidR="00E312D3" w:rsidRDefault="00E3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D2EA" w14:textId="77777777" w:rsidR="00923867" w:rsidRDefault="00923867" w:rsidP="00E312D3">
      <w:pPr>
        <w:spacing w:after="0" w:line="240" w:lineRule="auto"/>
      </w:pPr>
      <w:r>
        <w:separator/>
      </w:r>
    </w:p>
  </w:footnote>
  <w:footnote w:type="continuationSeparator" w:id="0">
    <w:p w14:paraId="26856F54" w14:textId="77777777" w:rsidR="00923867" w:rsidRDefault="00923867" w:rsidP="00E3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7E"/>
    <w:multiLevelType w:val="hybridMultilevel"/>
    <w:tmpl w:val="99A28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9D"/>
    <w:multiLevelType w:val="hybridMultilevel"/>
    <w:tmpl w:val="329620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9DC"/>
    <w:multiLevelType w:val="hybridMultilevel"/>
    <w:tmpl w:val="8C52A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93E"/>
    <w:multiLevelType w:val="hybridMultilevel"/>
    <w:tmpl w:val="6BD06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8A8D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0EF6"/>
    <w:multiLevelType w:val="hybridMultilevel"/>
    <w:tmpl w:val="6F5A3492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D77DA9"/>
    <w:multiLevelType w:val="hybridMultilevel"/>
    <w:tmpl w:val="FB988B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0145"/>
    <w:multiLevelType w:val="hybridMultilevel"/>
    <w:tmpl w:val="E228C8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CF"/>
    <w:rsid w:val="00006130"/>
    <w:rsid w:val="00013A73"/>
    <w:rsid w:val="00033048"/>
    <w:rsid w:val="00033EFC"/>
    <w:rsid w:val="00050BB9"/>
    <w:rsid w:val="00066A5B"/>
    <w:rsid w:val="0009007F"/>
    <w:rsid w:val="0009457D"/>
    <w:rsid w:val="000A49BA"/>
    <w:rsid w:val="000D19DB"/>
    <w:rsid w:val="000D6794"/>
    <w:rsid w:val="000F43C1"/>
    <w:rsid w:val="00107686"/>
    <w:rsid w:val="00115ABD"/>
    <w:rsid w:val="00150E40"/>
    <w:rsid w:val="00155A60"/>
    <w:rsid w:val="001641D2"/>
    <w:rsid w:val="001851B0"/>
    <w:rsid w:val="001A0D76"/>
    <w:rsid w:val="001A3AE5"/>
    <w:rsid w:val="00236797"/>
    <w:rsid w:val="0025557A"/>
    <w:rsid w:val="002632A4"/>
    <w:rsid w:val="002724E8"/>
    <w:rsid w:val="00295317"/>
    <w:rsid w:val="002B7FAB"/>
    <w:rsid w:val="002C0463"/>
    <w:rsid w:val="002D5662"/>
    <w:rsid w:val="002E0931"/>
    <w:rsid w:val="002E50D4"/>
    <w:rsid w:val="00312D70"/>
    <w:rsid w:val="00316546"/>
    <w:rsid w:val="00345655"/>
    <w:rsid w:val="003463E9"/>
    <w:rsid w:val="00381446"/>
    <w:rsid w:val="003A3A17"/>
    <w:rsid w:val="003A504A"/>
    <w:rsid w:val="003D4B83"/>
    <w:rsid w:val="003F2B4F"/>
    <w:rsid w:val="004016BA"/>
    <w:rsid w:val="00432E73"/>
    <w:rsid w:val="0043374A"/>
    <w:rsid w:val="004418A5"/>
    <w:rsid w:val="004A2127"/>
    <w:rsid w:val="004B71FD"/>
    <w:rsid w:val="004C03CF"/>
    <w:rsid w:val="004C13CD"/>
    <w:rsid w:val="004C7FCD"/>
    <w:rsid w:val="004F3BF7"/>
    <w:rsid w:val="005039D9"/>
    <w:rsid w:val="00524FDE"/>
    <w:rsid w:val="005577BD"/>
    <w:rsid w:val="0059218A"/>
    <w:rsid w:val="00612ED4"/>
    <w:rsid w:val="00616529"/>
    <w:rsid w:val="0062404B"/>
    <w:rsid w:val="00624C2E"/>
    <w:rsid w:val="006655D5"/>
    <w:rsid w:val="00670820"/>
    <w:rsid w:val="00681B3A"/>
    <w:rsid w:val="006920E2"/>
    <w:rsid w:val="006A133B"/>
    <w:rsid w:val="006B7000"/>
    <w:rsid w:val="006C602E"/>
    <w:rsid w:val="006C6D66"/>
    <w:rsid w:val="006D0BF7"/>
    <w:rsid w:val="006D6CA1"/>
    <w:rsid w:val="006F001F"/>
    <w:rsid w:val="006F7500"/>
    <w:rsid w:val="00706D0B"/>
    <w:rsid w:val="00723E9C"/>
    <w:rsid w:val="00735CF5"/>
    <w:rsid w:val="0079286D"/>
    <w:rsid w:val="0079598C"/>
    <w:rsid w:val="007A4349"/>
    <w:rsid w:val="007B5C85"/>
    <w:rsid w:val="007C0EAA"/>
    <w:rsid w:val="007C5A7C"/>
    <w:rsid w:val="007D3286"/>
    <w:rsid w:val="007E2FA2"/>
    <w:rsid w:val="00814041"/>
    <w:rsid w:val="008350D3"/>
    <w:rsid w:val="008633C8"/>
    <w:rsid w:val="0086572B"/>
    <w:rsid w:val="008707AD"/>
    <w:rsid w:val="008729CD"/>
    <w:rsid w:val="0088618B"/>
    <w:rsid w:val="008C3DAD"/>
    <w:rsid w:val="008D09E6"/>
    <w:rsid w:val="008D39EF"/>
    <w:rsid w:val="008F777E"/>
    <w:rsid w:val="0090195D"/>
    <w:rsid w:val="00923867"/>
    <w:rsid w:val="00926C97"/>
    <w:rsid w:val="009475FC"/>
    <w:rsid w:val="00960F1D"/>
    <w:rsid w:val="00960F47"/>
    <w:rsid w:val="00974764"/>
    <w:rsid w:val="00995E54"/>
    <w:rsid w:val="00996BB8"/>
    <w:rsid w:val="009A230F"/>
    <w:rsid w:val="009A36BE"/>
    <w:rsid w:val="009D5921"/>
    <w:rsid w:val="009D74FC"/>
    <w:rsid w:val="009E18C2"/>
    <w:rsid w:val="009E3ECF"/>
    <w:rsid w:val="009F1E70"/>
    <w:rsid w:val="00A11029"/>
    <w:rsid w:val="00A15995"/>
    <w:rsid w:val="00A539A3"/>
    <w:rsid w:val="00A6731A"/>
    <w:rsid w:val="00A861F9"/>
    <w:rsid w:val="00A90431"/>
    <w:rsid w:val="00A954A9"/>
    <w:rsid w:val="00A9592F"/>
    <w:rsid w:val="00AA3491"/>
    <w:rsid w:val="00AA435F"/>
    <w:rsid w:val="00AD37DD"/>
    <w:rsid w:val="00B020C2"/>
    <w:rsid w:val="00B20940"/>
    <w:rsid w:val="00B36F35"/>
    <w:rsid w:val="00B54930"/>
    <w:rsid w:val="00B609F5"/>
    <w:rsid w:val="00B66B66"/>
    <w:rsid w:val="00B71387"/>
    <w:rsid w:val="00B870D9"/>
    <w:rsid w:val="00B87BC7"/>
    <w:rsid w:val="00B94A62"/>
    <w:rsid w:val="00B94CE3"/>
    <w:rsid w:val="00BB3995"/>
    <w:rsid w:val="00BC5C3A"/>
    <w:rsid w:val="00BD1F33"/>
    <w:rsid w:val="00BD4F36"/>
    <w:rsid w:val="00BE1DC7"/>
    <w:rsid w:val="00BE4535"/>
    <w:rsid w:val="00BF0658"/>
    <w:rsid w:val="00BF1666"/>
    <w:rsid w:val="00BF4437"/>
    <w:rsid w:val="00BF7223"/>
    <w:rsid w:val="00C56F75"/>
    <w:rsid w:val="00C75114"/>
    <w:rsid w:val="00CB4CB9"/>
    <w:rsid w:val="00CE58C5"/>
    <w:rsid w:val="00D06F7A"/>
    <w:rsid w:val="00D60F98"/>
    <w:rsid w:val="00D733AB"/>
    <w:rsid w:val="00D86021"/>
    <w:rsid w:val="00D87632"/>
    <w:rsid w:val="00D934CF"/>
    <w:rsid w:val="00DA0B52"/>
    <w:rsid w:val="00DA3CB1"/>
    <w:rsid w:val="00DA72C5"/>
    <w:rsid w:val="00DC207A"/>
    <w:rsid w:val="00DC44CB"/>
    <w:rsid w:val="00DD6776"/>
    <w:rsid w:val="00DE615C"/>
    <w:rsid w:val="00DF18BB"/>
    <w:rsid w:val="00DF3130"/>
    <w:rsid w:val="00DF753E"/>
    <w:rsid w:val="00E11009"/>
    <w:rsid w:val="00E20A71"/>
    <w:rsid w:val="00E22CE9"/>
    <w:rsid w:val="00E312D3"/>
    <w:rsid w:val="00E450ED"/>
    <w:rsid w:val="00E51F1C"/>
    <w:rsid w:val="00E7406F"/>
    <w:rsid w:val="00E8073D"/>
    <w:rsid w:val="00E92162"/>
    <w:rsid w:val="00E97F4E"/>
    <w:rsid w:val="00EA6D6B"/>
    <w:rsid w:val="00EC19F5"/>
    <w:rsid w:val="00F04E0D"/>
    <w:rsid w:val="00F075DD"/>
    <w:rsid w:val="00F12D41"/>
    <w:rsid w:val="00F13901"/>
    <w:rsid w:val="00F20ECD"/>
    <w:rsid w:val="00F34921"/>
    <w:rsid w:val="00F67006"/>
    <w:rsid w:val="00F80ED5"/>
    <w:rsid w:val="00F820CF"/>
    <w:rsid w:val="00F8585E"/>
    <w:rsid w:val="00F93C3B"/>
    <w:rsid w:val="00FA1961"/>
    <w:rsid w:val="00FB074C"/>
    <w:rsid w:val="00FC3D1D"/>
    <w:rsid w:val="00FC6838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FBA32E7"/>
  <w15:docId w15:val="{DA8F1061-3CCA-41F7-A2FE-66DB49C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7"/>
    <w:pPr>
      <w:ind w:left="720"/>
      <w:contextualSpacing/>
    </w:pPr>
  </w:style>
  <w:style w:type="paragraph" w:styleId="NoSpacing">
    <w:name w:val="No Spacing"/>
    <w:uiPriority w:val="1"/>
    <w:qFormat/>
    <w:rsid w:val="00312D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D3"/>
  </w:style>
  <w:style w:type="paragraph" w:styleId="Footer">
    <w:name w:val="footer"/>
    <w:basedOn w:val="Normal"/>
    <w:link w:val="FooterChar"/>
    <w:uiPriority w:val="99"/>
    <w:unhideWhenUsed/>
    <w:rsid w:val="00E3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D3"/>
  </w:style>
  <w:style w:type="paragraph" w:styleId="BalloonText">
    <w:name w:val="Balloon Text"/>
    <w:basedOn w:val="Normal"/>
    <w:link w:val="BalloonTextChar"/>
    <w:uiPriority w:val="99"/>
    <w:semiHidden/>
    <w:unhideWhenUsed/>
    <w:rsid w:val="0062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74C"/>
    <w:rPr>
      <w:color w:val="0000FF" w:themeColor="hyperlink"/>
      <w:u w:val="single"/>
    </w:rPr>
  </w:style>
  <w:style w:type="paragraph" w:customStyle="1" w:styleId="Default">
    <w:name w:val="Default"/>
    <w:rsid w:val="00094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5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2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7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se@northport.co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se@northport.co.n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22D3-F09E-4D21-A6B6-7137CA3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Forestry</dc:creator>
  <cp:lastModifiedBy>Calvin Hicks</cp:lastModifiedBy>
  <cp:revision>59</cp:revision>
  <cp:lastPrinted>2021-07-28T02:38:00Z</cp:lastPrinted>
  <dcterms:created xsi:type="dcterms:W3CDTF">2017-08-01T01:24:00Z</dcterms:created>
  <dcterms:modified xsi:type="dcterms:W3CDTF">2021-11-09T02:14:00Z</dcterms:modified>
</cp:coreProperties>
</file>